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B68D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.................../2025</w:t>
      </w:r>
      <w:r>
        <w:rPr>
          <w:b/>
          <w:caps/>
        </w:rPr>
        <w:br/>
        <w:t>Prezydenta Miasta Elbląg</w:t>
      </w:r>
    </w:p>
    <w:p w14:paraId="7340A77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14:paraId="12663B88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w sprawie zasad i sposobu funkcjonowania kontroli zarządczej, planowania pracy oraz analizy ryzyka w Urzędzie Miejskim w Elblągu</w:t>
      </w:r>
    </w:p>
    <w:p w14:paraId="77069111" w14:textId="77777777" w:rsidR="00A77B3E" w:rsidRDefault="00000000">
      <w:pPr>
        <w:keepLines/>
        <w:spacing w:before="120" w:after="120"/>
        <w:ind w:firstLine="227"/>
      </w:pPr>
      <w:r>
        <w:t>Na podstawie § 49 ust. 1 Regulaminu Organizacyjnego Urzędu Miejskiego w Elblągu (Zarządzenie Nr 384/2024 Prezydenta Miasta Elbląg z dnia 29 lipca 2024 r. z </w:t>
      </w:r>
      <w:proofErr w:type="spellStart"/>
      <w:r>
        <w:t>późn</w:t>
      </w:r>
      <w:proofErr w:type="spellEnd"/>
      <w:r>
        <w:t>. zm.) oraz w związku z art. 69 ust. 1 pkt 3 ustawy z dnia 27 sierpnia 2009 r. o finansach publicznych (Dz. U. z 2025 r. poz. 1483) zarządza się, co następuje:</w:t>
      </w:r>
    </w:p>
    <w:p w14:paraId="51F8300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 465/2022 Prezydenta Miasta Elbląg z dnia 12 października 2022 r.</w:t>
      </w:r>
      <w:r>
        <w:br/>
        <w:t xml:space="preserve">w sprawie zasad i sposobu funkcjonowania kontroli zarządczej, planowania pracy oraz analizy ryzyka w Urzędzie Miejskim w Elblągu (z </w:t>
      </w:r>
      <w:proofErr w:type="spellStart"/>
      <w:r>
        <w:t>późn</w:t>
      </w:r>
      <w:proofErr w:type="spellEnd"/>
      <w:r>
        <w:t>. zm.) stanowiącym Zakres, zasady i sposób funkcjonowania systemu kontroli zarządczej, planowania pracy oraz analizy ryzyka przy planowaniu pracy oraz przetwarzaniu danych osobowych i informacji w Urzędzie Miejskim w Elblągu wprowadza się następujące zmiany:</w:t>
      </w:r>
    </w:p>
    <w:p w14:paraId="3956C03A" w14:textId="77777777" w:rsidR="00A77B3E" w:rsidRDefault="00000000">
      <w:pPr>
        <w:spacing w:before="120" w:after="120"/>
        <w:ind w:left="340" w:hanging="227"/>
      </w:pPr>
      <w:r>
        <w:t>1) § 1 pkt 3 otrzymuje brzmienie:</w:t>
      </w:r>
    </w:p>
    <w:p w14:paraId="50194271" w14:textId="77777777" w:rsidR="00A77B3E" w:rsidRDefault="00000000">
      <w:pPr>
        <w:spacing w:before="120" w:after="120"/>
        <w:ind w:left="793" w:hanging="340"/>
      </w:pPr>
      <w:r>
        <w:t>„3) Wyższym Kierownictwie - należy przez to rozumieć Prezydenta, Wiceprezydentów Miasta, Sekretarza Miasta, Skarbnika Miasta oraz Dyrektora Zarządzającego ds. bezpieczeństwa;”;</w:t>
      </w:r>
    </w:p>
    <w:p w14:paraId="7416CCED" w14:textId="77777777" w:rsidR="00A77B3E" w:rsidRDefault="00000000">
      <w:pPr>
        <w:spacing w:before="120" w:after="120"/>
        <w:ind w:left="340" w:hanging="227"/>
      </w:pPr>
      <w:r>
        <w:t>2) § 2 otrzymuje brzmienie:</w:t>
      </w:r>
    </w:p>
    <w:p w14:paraId="29C0A52C" w14:textId="77777777" w:rsidR="00A77B3E" w:rsidRDefault="00000000">
      <w:pPr>
        <w:keepLines/>
        <w:spacing w:before="120" w:after="120"/>
        <w:ind w:left="453" w:firstLine="227"/>
      </w:pPr>
      <w:r>
        <w:t>„2. W przypadku Pełnomocnika ds. Organizacji Pozarządowych oraz Pełnomocnika ds. Dzieci i Młodzieży zadania ujęte zostają w rocznym programie działania Departamentu Zdrowia i Spraw Społecznych. Natomiast w </w:t>
      </w:r>
      <w:proofErr w:type="spellStart"/>
      <w:r>
        <w:t>odniesieniiu</w:t>
      </w:r>
      <w:proofErr w:type="spellEnd"/>
      <w:r>
        <w:t xml:space="preserve"> do Pełnomocnika ds. Ochrony Informacji Niejawnych zadania ujęte zostają w rocznym programie działania Biura ds. Ochrony Informacji Niejawnych.”.</w:t>
      </w:r>
    </w:p>
    <w:p w14:paraId="5E8D533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wszystkim Dyrektorom komórek organizacyjnych Urzędu/Pełnomocnikom Prezydenta/samodzielnym stanowiskom.</w:t>
      </w:r>
    </w:p>
    <w:p w14:paraId="6EBF25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Nadzór nad realizacją Zarządzenia powierza się Dyrektorowi Departamentu Kontroli i Monitoringu.</w:t>
      </w:r>
    </w:p>
    <w:p w14:paraId="3603E249" w14:textId="77777777" w:rsidR="00A77B3E" w:rsidRDefault="00000000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Zarządzenie wchodzi w życie z dniem podpisania, z wyjątkiem § 1 pkt 2, który wchodzi w życie z dniem 1 stycznia 2026 r.</w:t>
      </w:r>
    </w:p>
    <w:p w14:paraId="4E0CD79F" w14:textId="77777777" w:rsidR="00F73CC3" w:rsidRDefault="00F73CC3">
      <w:pPr>
        <w:rPr>
          <w:szCs w:val="20"/>
        </w:rPr>
      </w:pPr>
    </w:p>
    <w:p w14:paraId="5DB8C514" w14:textId="77777777" w:rsidR="00F73CC3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46D73B3" w14:textId="77777777" w:rsidR="00F73CC3" w:rsidRDefault="00000000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dostosowuje zapisy Zarządzenia w sprawie zasad i sposobu funkcjonowania kontroli zarządczej, planowania pracy oraz analizy ryzyka w Urzędzie Miejskim w Elblągu do postanowień Regulaminu Organizacyjnego Urzędu Miejskiego w Elblągu.</w:t>
      </w:r>
    </w:p>
    <w:p w14:paraId="45FC4EED" w14:textId="77777777" w:rsidR="00F73CC3" w:rsidRDefault="00000000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nie rodzi skutków finansowych.</w:t>
      </w:r>
    </w:p>
    <w:sectPr w:rsidR="00F73CC3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91E0B"/>
    <w:rsid w:val="00A53649"/>
    <w:rsid w:val="00A77B3E"/>
    <w:rsid w:val="00CA2A55"/>
    <w:rsid w:val="00F7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0E7806"/>
  <w15:docId w15:val="{278AAB69-B78F-4F2D-8603-4BAA396EF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.................../2025</dc:title>
  <dc:subject>zmieniające Zarządzenie w^sprawie zasad i^sposobu funkcjonowania kontroli zarządczej, planowania pracy oraz analizy ryzyka w^Urzędzie Miejskim w^Elblągu</dc:subject>
  <dc:creator>makrz</dc:creator>
  <cp:lastModifiedBy>Magdalena Krzeszewska</cp:lastModifiedBy>
  <cp:revision>2</cp:revision>
  <dcterms:created xsi:type="dcterms:W3CDTF">2025-12-02T10:45:00Z</dcterms:created>
  <dcterms:modified xsi:type="dcterms:W3CDTF">2025-12-02T10:45:00Z</dcterms:modified>
  <cp:category>Akt prawny</cp:category>
</cp:coreProperties>
</file>