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4554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.................../2025</w:t>
      </w:r>
      <w:r>
        <w:rPr>
          <w:b/>
          <w:caps/>
        </w:rPr>
        <w:br/>
        <w:t>Prezydenta Miasta Elbląg</w:t>
      </w:r>
    </w:p>
    <w:p w14:paraId="3408F3B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14:paraId="567B7D2A" w14:textId="77777777" w:rsidR="00A77B3E" w:rsidRDefault="00000000">
      <w:pPr>
        <w:keepNext/>
        <w:spacing w:after="480"/>
        <w:jc w:val="center"/>
      </w:pPr>
      <w:r>
        <w:rPr>
          <w:b/>
        </w:rPr>
        <w:t>zmieniające Zarządzenie w sprawie zasad i sposobu funkcjonowania kontroli zarządczej w jednostkach organizacyjnych Gminy Miasto Elbląg</w:t>
      </w:r>
    </w:p>
    <w:p w14:paraId="5A7D967D" w14:textId="77777777" w:rsidR="00A77B3E" w:rsidRDefault="00000000">
      <w:pPr>
        <w:keepLines/>
        <w:spacing w:before="120" w:after="120"/>
        <w:ind w:firstLine="227"/>
      </w:pPr>
      <w:r>
        <w:t>Na podstawie § 49 ust. 1 Regulaminu Organizacyjnego Urzędu Miejskiego w Elblągu (Zarządzenie Nr 384/2024 Prezydenta Miasta Elbląg z dnia 29 lipca 2024 r. z późn. zm.) oraz w związku z art. 69 ust. 1 pkt 2 ustawy z dnia 27 sierpnia 2009 r. o finansach publicznych (Dz. U. z 2025 r. poz. 1483) zarządza się, co następuje:</w:t>
      </w:r>
    </w:p>
    <w:p w14:paraId="1F03184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238/2015 Prezydenta Miasta Elbląg z dnia 17 czerwca 2015 r.</w:t>
      </w:r>
      <w:r>
        <w:br/>
        <w:t>w sprawie zasad i sposobu funkcjonowania kontroli zarządczej w jednostkach organizacyjnych Gminy Miasto Elbląg wprowadza się następujące zmiany:</w:t>
      </w:r>
    </w:p>
    <w:p w14:paraId="54C6E742" w14:textId="77777777" w:rsidR="00A77B3E" w:rsidRDefault="00000000">
      <w:pPr>
        <w:spacing w:before="120" w:after="120"/>
        <w:ind w:left="340" w:hanging="227"/>
      </w:pPr>
      <w:r>
        <w:t>1) § 1 pkt 2 otrzymuje brzmienie:</w:t>
      </w:r>
    </w:p>
    <w:p w14:paraId="6DA2A0CC" w14:textId="77777777" w:rsidR="00A77B3E" w:rsidRDefault="00000000">
      <w:pPr>
        <w:spacing w:before="120" w:after="120"/>
        <w:ind w:left="793" w:hanging="340"/>
      </w:pPr>
      <w:r>
        <w:t>„2) Wyższym Kierownictwie - należy przez to rozumieć Prezydenta, Wiceprezydentów Miasta, Sekretarza Miasta, Skarbnika Miasta oraz Dyrektora Zarządzającego ds. bezpieczeństwa;”;</w:t>
      </w:r>
    </w:p>
    <w:p w14:paraId="12FF9970" w14:textId="77777777" w:rsidR="00A77B3E" w:rsidRDefault="00000000">
      <w:pPr>
        <w:spacing w:before="120" w:after="120"/>
        <w:ind w:left="340" w:hanging="227"/>
      </w:pPr>
      <w:r>
        <w:t>2) § 6 ust. 1, 2 i 3 otrzymują brzmienie:</w:t>
      </w:r>
    </w:p>
    <w:p w14:paraId="72AE23BE" w14:textId="77777777" w:rsidR="00A77B3E" w:rsidRDefault="00000000">
      <w:pPr>
        <w:keepLines/>
        <w:spacing w:before="120" w:after="120"/>
        <w:ind w:left="453" w:firstLine="227"/>
        <w:rPr>
          <w:color w:val="000000"/>
          <w:u w:color="000000"/>
        </w:rPr>
      </w:pPr>
      <w:r>
        <w:t xml:space="preserve">„§ 6. 1. Kierownicy miejskich jednostek organizacyjnych zobowiązani są do złożenia "Oświadczenia o stanie kontroli zarządczej" za poprzedni rok odpowiednio do Dyrektora Zarządzającego ds. bezpieczeństwa lub do komórek organizacyjnych Urzędu, sprawujących bezpośredni nadzór nad nimi w terminie </w:t>
      </w:r>
      <w:r>
        <w:rPr>
          <w:b/>
          <w:color w:val="000000"/>
          <w:u w:color="000000"/>
        </w:rPr>
        <w:t>do 20 stycznia każdego roku</w:t>
      </w:r>
      <w:r>
        <w:rPr>
          <w:color w:val="000000"/>
          <w:u w:color="000000"/>
        </w:rPr>
        <w:t xml:space="preserve"> za rok poprzedni. Wzór oświadczenia o stanie kontroli zarządczej stanowi załącznik do niniejszego zarządzenia.</w:t>
      </w:r>
    </w:p>
    <w:p w14:paraId="1D9E29DC" w14:textId="77777777" w:rsidR="00A77B3E" w:rsidRDefault="00000000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Dyrektor Zarządzający ds. bezpieczeństwa oraz Dyrektorzy komórek organizacyjnych Urzędu sprawujący bezpośredni nadzór nad miejskimi jednostkami organizacyjnymi po otrzymaniu "Oświadczeń o stanie kontroli zarządczej" zobowiązani są do sporządzenia sprawozdania z funkcjonowania kontroli zarządczej w miejskich jednostkach organizacyjnych wraz z zajęciem stanowiska odnośnie zgłoszonych zastrzeżeń przez miejskie jednostki organizacyjne na podstawie informacji uzyskanych ze złożonych "Oświadczeń o stanie kontroli zarządczej" w terminie </w:t>
      </w:r>
      <w:r>
        <w:rPr>
          <w:b/>
          <w:color w:val="000000"/>
          <w:u w:color="000000"/>
        </w:rPr>
        <w:t>do 5 lutego każdego roku</w:t>
      </w:r>
      <w:r>
        <w:rPr>
          <w:color w:val="000000"/>
          <w:u w:color="000000"/>
        </w:rPr>
        <w:t xml:space="preserve"> i przekazaniu go wraz z oryginałami złożonych "Oświadczeń o stanie kontroli zarządczej" do Departamentu Kontroli i Monitoringu.</w:t>
      </w:r>
    </w:p>
    <w:p w14:paraId="57B89DE2" w14:textId="77777777" w:rsidR="00A77B3E" w:rsidRDefault="00000000">
      <w:pPr>
        <w:keepLines/>
        <w:spacing w:before="120" w:after="120"/>
        <w:ind w:left="453"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Departament Kontroli i Monitoringu na podstawie uzyskanych sprawozdań sporządza na ich podstawie sprawozdanie o stanie kontroli zarządczej prowadzonej względem miejskich jednostek organizacyjnych. Sprawozdanie przekazywane jest Prezydentowi</w:t>
      </w:r>
      <w:r>
        <w:rPr>
          <w:b/>
          <w:color w:val="000000"/>
          <w:u w:color="000000"/>
        </w:rPr>
        <w:t xml:space="preserve"> do końca lutego każdego roku.</w:t>
      </w:r>
      <w:r>
        <w:rPr>
          <w:color w:val="000000"/>
          <w:u w:color="000000"/>
        </w:rPr>
        <w:t>”</w:t>
      </w:r>
      <w:r>
        <w:t>.</w:t>
      </w:r>
    </w:p>
    <w:p w14:paraId="608DD37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Dyrektorom komórek organizacyjnych Urzędu, Dyrektorowi Zarządzającemu ds. bezpieczeństwa sprawującym bezpośredni nadzór nad miejskimi jednostkami organizacyjnymi  oraz Dyrektorom miejskich jednostek organizacyjnych.</w:t>
      </w:r>
    </w:p>
    <w:p w14:paraId="3BF5AF4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realizacją Zarządzenia powierza się Dyrektorowi Departamentu Kontroli i Monitoringu.</w:t>
      </w:r>
    </w:p>
    <w:p w14:paraId="5B52221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8F2AA63" w14:textId="77777777" w:rsidR="00C16B6E" w:rsidRDefault="00C16B6E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107F9699" w14:textId="77777777" w:rsidR="00C16B6E" w:rsidRDefault="00000000">
      <w:pPr>
        <w:spacing w:line="360" w:lineRule="auto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14:paraId="09C11E2A" w14:textId="77777777" w:rsidR="00C16B6E" w:rsidRDefault="00000000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Zarządzenie dostosowuje zapisy Zarządzenia w sprawie zasad i sposobu funkcjonowania kontroli zarządczej</w:t>
      </w:r>
      <w:r>
        <w:rPr>
          <w:color w:val="000000"/>
          <w:szCs w:val="20"/>
          <w:shd w:val="clear" w:color="auto" w:fill="FFFFFF"/>
        </w:rPr>
        <w:t xml:space="preserve"> w jednostkach organizacyjnych Gminy Miasto Elbląg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do postanowień Regulaminu Organizacyjnego Urzędu Miejskiego w Elblągu.</w:t>
      </w:r>
    </w:p>
    <w:p w14:paraId="50AED5AC" w14:textId="77777777" w:rsidR="00C16B6E" w:rsidRDefault="00000000">
      <w:pPr>
        <w:spacing w:before="120" w:after="120"/>
        <w:ind w:firstLine="227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Zarządzenie nie rodzi skutków finansowych.</w:t>
      </w:r>
    </w:p>
    <w:p w14:paraId="5E480BF6" w14:textId="77777777" w:rsidR="00C16B6E" w:rsidRDefault="00C16B6E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C16B6E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16B6E"/>
    <w:rsid w:val="00C42D35"/>
    <w:rsid w:val="00C65AC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D3EDB"/>
  <w15:docId w15:val="{15EA4A29-92F3-4B0C-8374-A2385E338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.................../2025</dc:title>
  <dc:subject>zmieniające Zarządzenie w^sprawie zasad i^sposobu funkcjonowania kontroli zarządczej w^jednostkach organizacyjnych Gminy Miasto Elbląg</dc:subject>
  <dc:creator>makrz</dc:creator>
  <cp:lastModifiedBy>Magdalena Krzeszewska</cp:lastModifiedBy>
  <cp:revision>2</cp:revision>
  <dcterms:created xsi:type="dcterms:W3CDTF">2025-12-02T10:51:00Z</dcterms:created>
  <dcterms:modified xsi:type="dcterms:W3CDTF">2025-12-02T10:51:00Z</dcterms:modified>
  <cp:category>Akt prawny</cp:category>
</cp:coreProperties>
</file>