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521/2022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listopada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521/2022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 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Grochowska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17557/4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117/2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0,0313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Nieruchomość zabudowana budynkiem przewidzianym do rozbiórki; przeznaczona w MPZP pod zabudowę mieszkaniową z udziałem usług.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240.000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7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118/3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0,0753</w:t>
            </w: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431"/>
        <w:gridCol w:w="73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521/2022 z dnia 21 listopada 2022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2022-11-25T08:39:25Z</dcterms:created>
  <dcterms:modified xsi:type="dcterms:W3CDTF">2022-11-25T08:39:25Z</dcterms:modified>
  <cp:category>Akt prawny</cp:category>
</cp:coreProperties>
</file>