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6179CE">
      <w:pPr>
        <w:jc w:val="center"/>
        <w:rPr>
          <w:b/>
          <w:caps/>
        </w:rPr>
      </w:pPr>
      <w:r>
        <w:rPr>
          <w:b/>
          <w:caps/>
        </w:rPr>
        <w:t>Zarządzenie Nr 486/2022</w:t>
      </w:r>
      <w:r>
        <w:rPr>
          <w:b/>
          <w:caps/>
        </w:rPr>
        <w:br/>
        <w:t>Prezydenta Miasta Elbląg</w:t>
      </w:r>
    </w:p>
    <w:p w:rsidR="00A77B3E" w:rsidRDefault="006179CE">
      <w:pPr>
        <w:spacing w:before="280" w:after="280"/>
        <w:jc w:val="center"/>
        <w:rPr>
          <w:b/>
          <w:caps/>
        </w:rPr>
      </w:pPr>
      <w:r>
        <w:t>z dnia 13 października</w:t>
      </w:r>
      <w:r>
        <w:t> 2022 r.</w:t>
      </w:r>
    </w:p>
    <w:p w:rsidR="00A77B3E" w:rsidRDefault="006179CE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6179CE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</w:t>
      </w:r>
      <w:r>
        <w:rPr>
          <w:sz w:val="24"/>
        </w:rPr>
        <w:t>ustawy z dnia 21 sierpnia 1997 r. o gospodarce nieruchomościami (t.j. Dz.U. z 2021 r. poz. 1899 ze zm.)</w:t>
      </w:r>
    </w:p>
    <w:p w:rsidR="00A77B3E" w:rsidRDefault="006179C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6179C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</w:t>
      </w:r>
      <w:r>
        <w:t>o niniejszego Zarządzenia.</w:t>
      </w:r>
    </w:p>
    <w:p w:rsidR="00A77B3E" w:rsidRDefault="006179C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6179C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6179C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</w:t>
      </w:r>
      <w:r>
        <w:rPr>
          <w:color w:val="000000"/>
          <w:u w:color="000000"/>
        </w:rPr>
        <w:t>kaz nieruchomości, o którym mowa w ust. 1, podlega ogłoszeniu poprzez wywieszenie na tablicy ogłoszeń w siedzibie Urzędu Miejskiego w Elblągu na okres 21 dni, a ponadto informacja o jego wywieszeniu podana zostanie do wiadomości publicznej poprzez ogłoszen</w:t>
      </w:r>
      <w:r>
        <w:rPr>
          <w:color w:val="000000"/>
          <w:u w:color="000000"/>
        </w:rPr>
        <w:t>ie w prasie lokalnej.</w:t>
      </w:r>
    </w:p>
    <w:p w:rsidR="00A77B3E" w:rsidRDefault="006179C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 Załączniku do Zarządzenia Nr 216/2021 Prezydenta Miasta Elbląg z dnia 8 czerwca 2021 r. w sprawie sporządzenia i ogłoszenia wykazu nieruchomości do zbycia, skreśla się poz. 1.</w:t>
      </w:r>
    </w:p>
    <w:p w:rsidR="00A77B3E" w:rsidRDefault="006179C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powierza się Dyrektorowi</w:t>
      </w:r>
      <w:r>
        <w:rPr>
          <w:color w:val="000000"/>
          <w:u w:color="000000"/>
        </w:rPr>
        <w:t xml:space="preserve"> Departamentu Gospodarki Nieruchomościami i Geodezji.</w:t>
      </w:r>
    </w:p>
    <w:p w:rsidR="00A77B3E" w:rsidRDefault="006179C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:rsidR="006179CE" w:rsidRDefault="006179CE">
      <w:pPr>
        <w:keepLines/>
        <w:spacing w:before="120" w:after="120"/>
        <w:rPr>
          <w:color w:val="000000"/>
          <w:u w:color="000000"/>
        </w:rPr>
        <w:sectPr w:rsidR="006179C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6179CE">
      <w:pPr>
        <w:keepNext/>
        <w:spacing w:before="120"/>
        <w:ind w:left="899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486/2022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13 października </w:t>
      </w:r>
      <w:r>
        <w:rPr>
          <w:color w:val="000000"/>
          <w:u w:color="000000"/>
        </w:rPr>
        <w:t>2022 r.</w:t>
      </w:r>
    </w:p>
    <w:p w:rsidR="00A77B3E" w:rsidRDefault="006179CE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bookmarkStart w:id="0" w:name="_GoBack"/>
      <w:bookmarkEnd w:id="0"/>
      <w:r>
        <w:rPr>
          <w:b/>
          <w:color w:val="000000"/>
          <w:u w:color="000000"/>
        </w:rPr>
        <w:br/>
        <w:t>nieruchomości przeznaczonych 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8"/>
        <w:gridCol w:w="2242"/>
        <w:gridCol w:w="1226"/>
        <w:gridCol w:w="1062"/>
        <w:gridCol w:w="1092"/>
        <w:gridCol w:w="1077"/>
        <w:gridCol w:w="3886"/>
        <w:gridCol w:w="1211"/>
        <w:gridCol w:w="1391"/>
        <w:gridCol w:w="1002"/>
      </w:tblGrid>
      <w:tr w:rsidR="005365C4"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CE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CE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6179CE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C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C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C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5365C4" w:rsidRDefault="006179CE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5365C4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C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C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C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C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5365C4">
        <w:trPr>
          <w:trHeight w:val="40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CE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CE">
            <w:pPr>
              <w:jc w:val="center"/>
              <w:rPr>
                <w:color w:val="000000"/>
                <w:u w:color="000000"/>
              </w:rPr>
            </w:pPr>
            <w:r>
              <w:t>ul. Piechoty 10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CE">
            <w:pPr>
              <w:jc w:val="center"/>
              <w:rPr>
                <w:color w:val="000000"/>
                <w:u w:color="000000"/>
              </w:rPr>
            </w:pPr>
            <w:r>
              <w:t>34235/6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CE">
            <w:pPr>
              <w:jc w:val="center"/>
              <w:rPr>
                <w:color w:val="000000"/>
                <w:u w:color="000000"/>
              </w:rPr>
            </w:pPr>
            <w:r>
              <w:t>271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CE">
            <w:pPr>
              <w:jc w:val="center"/>
              <w:rPr>
                <w:color w:val="000000"/>
                <w:u w:color="000000"/>
              </w:rPr>
            </w:pPr>
            <w:r>
              <w:t>0,0255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CE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3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CE">
            <w:pPr>
              <w:jc w:val="center"/>
              <w:rPr>
                <w:color w:val="000000"/>
                <w:u w:color="000000"/>
              </w:rPr>
            </w:pPr>
            <w:r>
              <w:t xml:space="preserve">Lokal użytkowy nr 1U, o łącznej pow. </w:t>
            </w:r>
            <w:proofErr w:type="spellStart"/>
            <w:r>
              <w:t>uż</w:t>
            </w:r>
            <w:proofErr w:type="spellEnd"/>
            <w:r>
              <w:t>. 27,3 m</w:t>
            </w:r>
            <w:r>
              <w:rPr>
                <w:vertAlign w:val="superscript"/>
              </w:rPr>
              <w:t>2 </w:t>
            </w:r>
            <w:r>
              <w:t>wraz z udziałem 0,0052 w częściach wspólnych i niepodzielnych budynku oraz w prawie własności gruntu.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79CE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6179C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52.400 zł</w:t>
            </w:r>
          </w:p>
        </w:tc>
      </w:tr>
      <w:tr w:rsidR="005365C4">
        <w:trPr>
          <w:trHeight w:val="21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6179C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 tym:</w:t>
            </w:r>
          </w:p>
        </w:tc>
      </w:tr>
      <w:tr w:rsidR="005365C4">
        <w:trPr>
          <w:trHeight w:val="285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77B3E" w:rsidRDefault="006179C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lokal: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6179C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45.434 zł</w:t>
            </w:r>
          </w:p>
        </w:tc>
      </w:tr>
      <w:tr w:rsidR="005365C4">
        <w:trPr>
          <w:trHeight w:val="255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</w:tcPr>
          <w:p w:rsidR="00A77B3E" w:rsidRDefault="006179C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udział w gruncie: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6179C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3.483 zł</w:t>
            </w:r>
          </w:p>
        </w:tc>
      </w:tr>
      <w:tr w:rsidR="005365C4"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179C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5365C4" w:rsidRDefault="006179CE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 w:rsidRDefault="006179CE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1"/>
        <w:gridCol w:w="7356"/>
      </w:tblGrid>
      <w:tr w:rsidR="005365C4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6179CE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 w:rsidR="005365C4" w:rsidRDefault="006179CE">
            <w:pPr>
              <w:jc w:val="left"/>
            </w:pPr>
            <w:r>
              <w:rPr>
                <w:sz w:val="18"/>
              </w:rPr>
              <w:t xml:space="preserve">Pierwszeństwo </w:t>
            </w:r>
            <w:r>
              <w:rPr>
                <w:sz w:val="18"/>
              </w:rPr>
              <w:t>w nabyciu nieruchomości określonych w powyższym wykazie dotyczy osób, którym przysługuje roszczenie o nabycie nieruchomości z mocy ustawy o gospodarce nieruchomościami lub odrębnych przepisów, jeżeli złożą wniosek o nabycie przed upływem terminu określoneg</w:t>
            </w:r>
            <w:r>
              <w:rPr>
                <w:sz w:val="18"/>
              </w:rPr>
              <w:t>o w wykazie: termin złożenia wniosku nie może być krótszy niż 6 tygodni, licząc od dnia wywieszenia wykazu.</w:t>
            </w:r>
          </w:p>
        </w:tc>
      </w:tr>
      <w:tr w:rsidR="005365C4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365C4">
        <w:trPr>
          <w:gridAfter w:val="1"/>
          <w:wAfter w:w="7350" w:type="dxa"/>
          <w:trHeight w:val="465"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6179CE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Starszy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5365C4"/>
    <w:rsid w:val="006179CE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2217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2022-10-17T07:19:00Z</dcterms:created>
  <dcterms:modified xsi:type="dcterms:W3CDTF">2022-10-17T07:19:00Z</dcterms:modified>
  <cp:category>Akt prawny</cp:category>
</cp:coreProperties>
</file>