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B3E" w:rsidRDefault="009934EA">
      <w:pPr>
        <w:jc w:val="center"/>
        <w:rPr>
          <w:b/>
          <w:caps/>
        </w:rPr>
      </w:pPr>
      <w:r>
        <w:rPr>
          <w:b/>
          <w:caps/>
        </w:rPr>
        <w:t>Zarządzenie Nr 469/2022</w:t>
      </w:r>
      <w:r>
        <w:rPr>
          <w:b/>
          <w:caps/>
        </w:rPr>
        <w:br/>
        <w:t>Prezydenta Miasta Elbląg</w:t>
      </w:r>
    </w:p>
    <w:p w:rsidR="00A77B3E" w:rsidRDefault="009934EA">
      <w:pPr>
        <w:spacing w:before="280" w:after="280"/>
        <w:jc w:val="center"/>
        <w:rPr>
          <w:b/>
          <w:caps/>
        </w:rPr>
      </w:pPr>
      <w:r>
        <w:t>z dnia 13 października</w:t>
      </w:r>
      <w:r>
        <w:t> 2022 r.</w:t>
      </w:r>
    </w:p>
    <w:p w:rsidR="00A77B3E" w:rsidRDefault="009934EA">
      <w:pPr>
        <w:keepNext/>
        <w:jc w:val="center"/>
      </w:pPr>
      <w:r>
        <w:rPr>
          <w:b/>
        </w:rPr>
        <w:t>w sprawie sporządzenia i ogłoszenia wykazu nieruchomości przeznaczonych do zbycia</w:t>
      </w:r>
    </w:p>
    <w:p w:rsidR="00A77B3E" w:rsidRDefault="009934EA">
      <w:pPr>
        <w:keepLines/>
        <w:spacing w:before="120" w:after="120"/>
        <w:rPr>
          <w:sz w:val="24"/>
        </w:rPr>
      </w:pPr>
      <w:r>
        <w:rPr>
          <w:sz w:val="24"/>
        </w:rPr>
        <w:t>Na podstawie art. 35 ust. 1 i 2 </w:t>
      </w:r>
      <w:r>
        <w:rPr>
          <w:sz w:val="24"/>
        </w:rPr>
        <w:t>ustawy z dnia 21 sierpnia 1997 r. o gospodarce nieruchomościami (t.j. Dz.U. z 2021 r. poz. 1899 ze zm.)</w:t>
      </w:r>
    </w:p>
    <w:p w:rsidR="00A77B3E" w:rsidRDefault="009934EA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9934EA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Z zasobu nieruchomości Gminy Miasto Elbląg przeznacza się do zbycia nieruchomości szczegółowo opisane w załączniku d</w:t>
      </w:r>
      <w:r>
        <w:t>o niniejszego Zarządzenia.</w:t>
      </w:r>
    </w:p>
    <w:p w:rsidR="00A77B3E" w:rsidRDefault="009934EA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zbycia poszczególnych nieruchomości zostaną ustalone we właściwych protokołach.</w:t>
      </w:r>
    </w:p>
    <w:p w:rsidR="00A77B3E" w:rsidRDefault="009934EA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nieruchomości przeznaczonych do zbycia, wymienionych w załączniku do niniejszego Zarządzenia.</w:t>
      </w:r>
    </w:p>
    <w:p w:rsidR="00A77B3E" w:rsidRDefault="009934EA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</w:t>
      </w:r>
      <w:r>
        <w:rPr>
          <w:color w:val="000000"/>
          <w:u w:color="000000"/>
        </w:rPr>
        <w:t>az nieruchomości, o którym mowa w ust. 1, podlega ogłoszeniu poprzez wywieszenie na tablicy ogłoszeń w siedzibie Urzędu Miejskiego w Elblągu na okres 21 dni, a ponadto informacja o jego wywieszeniu podana zostanie do wiadomości publicznej poprzez ogłoszeni</w:t>
      </w:r>
      <w:r>
        <w:rPr>
          <w:color w:val="000000"/>
          <w:u w:color="000000"/>
        </w:rPr>
        <w:t>e w prasie lokalnej.</w:t>
      </w:r>
    </w:p>
    <w:p w:rsidR="00A77B3E" w:rsidRDefault="009934EA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:rsidR="00A77B3E" w:rsidRDefault="009934EA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9934EA" w:rsidRDefault="009934EA">
      <w:pPr>
        <w:keepLines/>
        <w:spacing w:before="120" w:after="120"/>
        <w:rPr>
          <w:color w:val="000000"/>
          <w:u w:color="000000"/>
        </w:rPr>
        <w:sectPr w:rsidR="009934EA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</w:p>
    <w:p w:rsidR="00A77B3E" w:rsidRDefault="009934EA">
      <w:pPr>
        <w:keepNext/>
        <w:spacing w:before="120"/>
        <w:ind w:left="8994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zarządzenia Nr 469/2022</w:t>
      </w:r>
      <w:r>
        <w:rPr>
          <w:color w:val="000000"/>
          <w:u w:color="000000"/>
        </w:rPr>
        <w:br/>
        <w:t>Prezydenta Miasta Elbląg</w:t>
      </w:r>
      <w:r>
        <w:rPr>
          <w:color w:val="000000"/>
          <w:u w:color="000000"/>
        </w:rPr>
        <w:br/>
        <w:t xml:space="preserve">z dnia 13 października </w:t>
      </w:r>
      <w:bookmarkStart w:id="0" w:name="_GoBack"/>
      <w:bookmarkEnd w:id="0"/>
      <w:r>
        <w:rPr>
          <w:color w:val="000000"/>
          <w:u w:color="000000"/>
        </w:rPr>
        <w:t>2022 r.</w:t>
      </w:r>
    </w:p>
    <w:p w:rsidR="00A77B3E" w:rsidRDefault="009934EA">
      <w:pPr>
        <w:keepNext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WYKAZ</w:t>
      </w:r>
      <w:r>
        <w:rPr>
          <w:b/>
          <w:color w:val="000000"/>
          <w:u w:color="000000"/>
        </w:rPr>
        <w:br/>
        <w:t>nieruchomości przeznaczonych do zbycia w drodze bezprzetargowej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8"/>
        <w:gridCol w:w="2071"/>
        <w:gridCol w:w="1294"/>
        <w:gridCol w:w="1066"/>
        <w:gridCol w:w="1081"/>
        <w:gridCol w:w="975"/>
        <w:gridCol w:w="3091"/>
        <w:gridCol w:w="2041"/>
        <w:gridCol w:w="1569"/>
        <w:gridCol w:w="1051"/>
      </w:tblGrid>
      <w:tr w:rsidR="007114CE">
        <w:trPr>
          <w:trHeight w:val="330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934EA">
            <w:pPr>
              <w:jc w:val="center"/>
              <w:rPr>
                <w:color w:val="000000"/>
                <w:u w:color="000000"/>
              </w:rPr>
            </w:pPr>
            <w:proofErr w:type="spellStart"/>
            <w:r>
              <w:rPr>
                <w:b/>
              </w:rPr>
              <w:t>Lp</w:t>
            </w:r>
            <w:proofErr w:type="spellEnd"/>
            <w:r>
              <w:rPr>
                <w:b/>
              </w:rPr>
              <w:t xml:space="preserve"> </w:t>
            </w:r>
          </w:p>
        </w:tc>
        <w:tc>
          <w:tcPr>
            <w:tcW w:w="20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934EA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 xml:space="preserve">Adres </w:t>
            </w:r>
          </w:p>
        </w:tc>
        <w:tc>
          <w:tcPr>
            <w:tcW w:w="43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9934EA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 xml:space="preserve">Dane geodezyjne </w:t>
            </w:r>
          </w:p>
        </w:tc>
        <w:tc>
          <w:tcPr>
            <w:tcW w:w="30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934EA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Opis i przeznaczenie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 xml:space="preserve">nieruchomości </w:t>
            </w:r>
          </w:p>
        </w:tc>
        <w:tc>
          <w:tcPr>
            <w:tcW w:w="20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934EA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Fo</w:t>
            </w:r>
            <w:r>
              <w:rPr>
                <w:b/>
                <w:color w:val="000000"/>
                <w:u w:color="000000"/>
              </w:rPr>
              <w:t>rma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 xml:space="preserve">zbycia </w:t>
            </w:r>
          </w:p>
        </w:tc>
        <w:tc>
          <w:tcPr>
            <w:tcW w:w="25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77B3E" w:rsidRDefault="009934EA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Cena</w:t>
            </w:r>
          </w:p>
          <w:p w:rsidR="007114CE" w:rsidRDefault="009934EA">
            <w:pPr>
              <w:jc w:val="center"/>
            </w:pPr>
            <w:r>
              <w:rPr>
                <w:b/>
              </w:rPr>
              <w:t xml:space="preserve">nieruchomości* </w:t>
            </w:r>
          </w:p>
        </w:tc>
      </w:tr>
      <w:tr w:rsidR="007114CE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4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9934EA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 xml:space="preserve">KW 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9934EA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 xml:space="preserve">Nr dz. 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9934EA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Pow.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 xml:space="preserve">w ha 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9934EA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 xml:space="preserve">Obręb </w:t>
            </w:r>
          </w:p>
        </w:tc>
        <w:tc>
          <w:tcPr>
            <w:tcW w:w="304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1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80" w:type="dxa"/>
            <w:gridSpan w:val="2"/>
            <w:vMerge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7114CE">
        <w:tc>
          <w:tcPr>
            <w:tcW w:w="54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9934EA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204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9934EA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9934EA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105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9934EA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9934EA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96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9934EA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6</w:t>
            </w:r>
          </w:p>
        </w:tc>
        <w:tc>
          <w:tcPr>
            <w:tcW w:w="304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9934EA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7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9934EA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</w:t>
            </w:r>
          </w:p>
        </w:tc>
        <w:tc>
          <w:tcPr>
            <w:tcW w:w="2580" w:type="dxa"/>
            <w:gridSpan w:val="2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9934EA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9</w:t>
            </w:r>
          </w:p>
        </w:tc>
      </w:tr>
      <w:tr w:rsidR="007114CE">
        <w:trPr>
          <w:trHeight w:val="435"/>
        </w:trPr>
        <w:tc>
          <w:tcPr>
            <w:tcW w:w="540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9934EA">
            <w:pPr>
              <w:jc w:val="center"/>
              <w:rPr>
                <w:color w:val="000000"/>
                <w:u w:color="000000"/>
              </w:rPr>
            </w:pPr>
            <w:r>
              <w:t xml:space="preserve">1. </w:t>
            </w:r>
          </w:p>
        </w:tc>
        <w:tc>
          <w:tcPr>
            <w:tcW w:w="2040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9934EA">
            <w:pPr>
              <w:jc w:val="center"/>
              <w:rPr>
                <w:color w:val="000000"/>
                <w:u w:color="000000"/>
              </w:rPr>
            </w:pPr>
            <w:r>
              <w:t>ul. Szarych Szeregów 2b</w:t>
            </w:r>
          </w:p>
        </w:tc>
        <w:tc>
          <w:tcPr>
            <w:tcW w:w="1275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9934EA">
            <w:pPr>
              <w:jc w:val="center"/>
              <w:rPr>
                <w:color w:val="000000"/>
                <w:u w:color="000000"/>
              </w:rPr>
            </w:pPr>
            <w:r>
              <w:t>26273/5</w:t>
            </w:r>
          </w:p>
        </w:tc>
        <w:tc>
          <w:tcPr>
            <w:tcW w:w="1050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9934EA">
            <w:pPr>
              <w:jc w:val="center"/>
              <w:rPr>
                <w:color w:val="000000"/>
                <w:u w:color="000000"/>
              </w:rPr>
            </w:pPr>
            <w:r>
              <w:t>117</w:t>
            </w:r>
          </w:p>
        </w:tc>
        <w:tc>
          <w:tcPr>
            <w:tcW w:w="1065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9934EA">
            <w:pPr>
              <w:jc w:val="center"/>
              <w:rPr>
                <w:color w:val="000000"/>
                <w:u w:color="000000"/>
              </w:rPr>
            </w:pPr>
            <w:r>
              <w:t>0,0064</w:t>
            </w:r>
          </w:p>
        </w:tc>
        <w:tc>
          <w:tcPr>
            <w:tcW w:w="960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9934EA">
            <w:pPr>
              <w:jc w:val="center"/>
              <w:rPr>
                <w:color w:val="000000"/>
                <w:u w:color="000000"/>
              </w:rPr>
            </w:pPr>
            <w:r>
              <w:t>3</w:t>
            </w:r>
          </w:p>
        </w:tc>
        <w:tc>
          <w:tcPr>
            <w:tcW w:w="3045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9934E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Działka zabudowana budynkiem o funkcji handlowo-usługowej.</w:t>
            </w:r>
          </w:p>
          <w:p w:rsidR="007114CE" w:rsidRDefault="009934EA">
            <w:pPr>
              <w:jc w:val="center"/>
            </w:pPr>
            <w:r>
              <w:rPr>
                <w:sz w:val="20"/>
              </w:rPr>
              <w:t>Przeznaczenie w MPZP: teren zabudowy usługowej.</w:t>
            </w:r>
          </w:p>
          <w:p w:rsidR="007114CE" w:rsidRDefault="009934EA">
            <w:pPr>
              <w:jc w:val="center"/>
            </w:pPr>
            <w:r>
              <w:rPr>
                <w:sz w:val="20"/>
              </w:rPr>
              <w:t xml:space="preserve">Nieruchomość zbywana w trybie art. 37 ust. 3a pkt 2 </w:t>
            </w:r>
            <w:proofErr w:type="spellStart"/>
            <w:r>
              <w:rPr>
                <w:sz w:val="20"/>
              </w:rPr>
              <w:t>u.g.n</w:t>
            </w:r>
            <w:proofErr w:type="spellEnd"/>
            <w:r>
              <w:rPr>
                <w:sz w:val="20"/>
              </w:rPr>
              <w:t>.</w:t>
            </w:r>
          </w:p>
        </w:tc>
        <w:tc>
          <w:tcPr>
            <w:tcW w:w="2010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9934E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grunt - użytkowanie wieczyste</w:t>
            </w:r>
          </w:p>
          <w:p w:rsidR="007114CE" w:rsidRDefault="009934EA">
            <w:pPr>
              <w:jc w:val="center"/>
            </w:pPr>
            <w:r>
              <w:rPr>
                <w:sz w:val="20"/>
              </w:rPr>
              <w:t>budynek - własność</w:t>
            </w:r>
          </w:p>
        </w:tc>
        <w:tc>
          <w:tcPr>
            <w:tcW w:w="2580" w:type="dxa"/>
            <w:gridSpan w:val="2"/>
            <w:tcBorders>
              <w:top w:val="single" w:sz="2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77B3E" w:rsidRDefault="009934EA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130.885 zł</w:t>
            </w:r>
          </w:p>
        </w:tc>
      </w:tr>
      <w:tr w:rsidR="007114CE">
        <w:tc>
          <w:tcPr>
            <w:tcW w:w="54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4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7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5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6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04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1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8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77B3E" w:rsidRDefault="009934EA">
            <w:pPr>
              <w:jc w:val="center"/>
              <w:rPr>
                <w:color w:val="000000"/>
                <w:u w:color="000000"/>
              </w:rPr>
            </w:pPr>
            <w:r>
              <w:rPr>
                <w:sz w:val="14"/>
              </w:rPr>
              <w:t>w tym:</w:t>
            </w:r>
          </w:p>
        </w:tc>
      </w:tr>
      <w:tr w:rsidR="007114CE">
        <w:tc>
          <w:tcPr>
            <w:tcW w:w="54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4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7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5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6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04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1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A77B3E" w:rsidRDefault="009934EA">
            <w:pPr>
              <w:jc w:val="left"/>
              <w:rPr>
                <w:color w:val="000000"/>
                <w:u w:color="000000"/>
              </w:rPr>
            </w:pPr>
            <w:r>
              <w:rPr>
                <w:sz w:val="14"/>
              </w:rPr>
              <w:t>budynek:</w:t>
            </w: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single" w:sz="2" w:space="0" w:color="auto"/>
            </w:tcBorders>
            <w:vAlign w:val="center"/>
          </w:tcPr>
          <w:p w:rsidR="00A77B3E" w:rsidRDefault="009934EA">
            <w:pPr>
              <w:jc w:val="right"/>
              <w:rPr>
                <w:color w:val="000000"/>
                <w:u w:color="000000"/>
              </w:rPr>
            </w:pPr>
            <w:r>
              <w:rPr>
                <w:sz w:val="14"/>
              </w:rPr>
              <w:t>114.903 zł</w:t>
            </w:r>
          </w:p>
        </w:tc>
      </w:tr>
      <w:tr w:rsidR="007114CE">
        <w:tc>
          <w:tcPr>
            <w:tcW w:w="54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204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7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6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6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304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201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nil"/>
              <w:right w:val="nil"/>
            </w:tcBorders>
            <w:vAlign w:val="center"/>
          </w:tcPr>
          <w:p w:rsidR="00A77B3E" w:rsidRDefault="009934EA">
            <w:pPr>
              <w:jc w:val="left"/>
              <w:rPr>
                <w:color w:val="000000"/>
                <w:u w:color="000000"/>
              </w:rPr>
            </w:pPr>
            <w:r>
              <w:rPr>
                <w:sz w:val="14"/>
              </w:rPr>
              <w:t>grunt:</w:t>
            </w: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single" w:sz="2" w:space="0" w:color="auto"/>
            </w:tcBorders>
            <w:vAlign w:val="center"/>
          </w:tcPr>
          <w:p w:rsidR="00A77B3E" w:rsidRDefault="009934EA">
            <w:pPr>
              <w:jc w:val="right"/>
              <w:rPr>
                <w:color w:val="000000"/>
                <w:u w:color="000000"/>
              </w:rPr>
            </w:pPr>
            <w:r>
              <w:rPr>
                <w:sz w:val="14"/>
              </w:rPr>
              <w:t>15.982 zł</w:t>
            </w:r>
          </w:p>
        </w:tc>
      </w:tr>
      <w:tr w:rsidR="007114CE">
        <w:tc>
          <w:tcPr>
            <w:tcW w:w="54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204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7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6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6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304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201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2580" w:type="dxa"/>
            <w:gridSpan w:val="2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9934E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14"/>
                <w:u w:color="000000"/>
              </w:rPr>
              <w:t>plus podatek VAT zgodnie </w:t>
            </w:r>
            <w:r>
              <w:rPr>
                <w:color w:val="000000"/>
                <w:sz w:val="14"/>
                <w:u w:color="000000"/>
              </w:rPr>
              <w:br/>
              <w:t>z obowiązującymi przepisami</w:t>
            </w:r>
          </w:p>
        </w:tc>
      </w:tr>
      <w:tr w:rsidR="007114CE">
        <w:tc>
          <w:tcPr>
            <w:tcW w:w="54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4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7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6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04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1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80" w:type="dxa"/>
            <w:gridSpan w:val="2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:rsidR="00A77B3E" w:rsidRDefault="009934EA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>Opłaty z tytułu ustanowienia prawa użytkowania wieczystego gruntu:</w:t>
            </w:r>
          </w:p>
        </w:tc>
      </w:tr>
      <w:tr w:rsidR="007114CE">
        <w:tc>
          <w:tcPr>
            <w:tcW w:w="54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4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7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6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04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1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80" w:type="dxa"/>
            <w:gridSpan w:val="2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:rsidR="00A77B3E" w:rsidRDefault="009934EA">
            <w:pPr>
              <w:jc w:val="center"/>
              <w:rPr>
                <w:color w:val="000000"/>
                <w:u w:color="000000"/>
              </w:rPr>
            </w:pPr>
            <w:r>
              <w:rPr>
                <w:sz w:val="14"/>
              </w:rPr>
              <w:t xml:space="preserve">pierwsza opłata 25% wartości gruntu: </w:t>
            </w:r>
            <w:r>
              <w:rPr>
                <w:b/>
                <w:sz w:val="14"/>
              </w:rPr>
              <w:t>nie pobiera się</w:t>
            </w:r>
          </w:p>
        </w:tc>
      </w:tr>
      <w:tr w:rsidR="007114CE">
        <w:tc>
          <w:tcPr>
            <w:tcW w:w="54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4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7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6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04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1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80" w:type="dxa"/>
            <w:gridSpan w:val="2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9934E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14"/>
                <w:u w:color="000000"/>
              </w:rPr>
              <w:t xml:space="preserve">opłaty roczne 3% wartości gruntu: </w:t>
            </w:r>
          </w:p>
          <w:p w:rsidR="00A77B3E" w:rsidRDefault="009934EA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>479,46 zł</w:t>
            </w:r>
            <w:r>
              <w:rPr>
                <w:b/>
                <w:color w:val="000000"/>
                <w:sz w:val="14"/>
                <w:u w:color="000000"/>
              </w:rPr>
              <w:br/>
            </w:r>
            <w:r>
              <w:rPr>
                <w:color w:val="000000"/>
                <w:sz w:val="14"/>
                <w:u w:color="000000"/>
              </w:rPr>
              <w:t>plus podatek VAT zgodnie </w:t>
            </w:r>
            <w:r>
              <w:rPr>
                <w:color w:val="000000"/>
                <w:sz w:val="14"/>
                <w:u w:color="000000"/>
              </w:rPr>
              <w:br/>
              <w:t>z obowiązującymi przepisami</w:t>
            </w:r>
          </w:p>
        </w:tc>
      </w:tr>
      <w:tr w:rsidR="007114CE">
        <w:trPr>
          <w:trHeight w:val="345"/>
        </w:trPr>
        <w:tc>
          <w:tcPr>
            <w:tcW w:w="540" w:type="dxa"/>
            <w:tcBorders>
              <w:top w:val="single" w:sz="2" w:space="0" w:color="auto"/>
              <w:left w:val="nil"/>
              <w:bottom w:val="nil"/>
              <w:right w:val="nil"/>
            </w:tcBorders>
            <w:vAlign w:val="bottom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040" w:type="dxa"/>
            <w:tcBorders>
              <w:top w:val="single" w:sz="2" w:space="0" w:color="auto"/>
              <w:left w:val="nil"/>
              <w:bottom w:val="nil"/>
              <w:right w:val="nil"/>
            </w:tcBorders>
            <w:vAlign w:val="bottom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nil"/>
              <w:bottom w:val="nil"/>
              <w:right w:val="nil"/>
            </w:tcBorders>
            <w:vAlign w:val="bottom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nil"/>
              <w:bottom w:val="nil"/>
              <w:right w:val="nil"/>
            </w:tcBorders>
            <w:vAlign w:val="bottom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nil"/>
              <w:bottom w:val="nil"/>
              <w:right w:val="nil"/>
            </w:tcBorders>
            <w:vAlign w:val="bottom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60" w:type="dxa"/>
            <w:tcBorders>
              <w:top w:val="single" w:sz="2" w:space="0" w:color="auto"/>
              <w:left w:val="nil"/>
              <w:bottom w:val="nil"/>
              <w:right w:val="nil"/>
            </w:tcBorders>
            <w:vAlign w:val="bottom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3045" w:type="dxa"/>
            <w:tcBorders>
              <w:top w:val="single" w:sz="2" w:space="0" w:color="auto"/>
              <w:left w:val="nil"/>
              <w:bottom w:val="nil"/>
              <w:right w:val="nil"/>
            </w:tcBorders>
            <w:vAlign w:val="bottom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010" w:type="dxa"/>
            <w:tcBorders>
              <w:top w:val="single" w:sz="2" w:space="0" w:color="auto"/>
              <w:left w:val="nil"/>
              <w:bottom w:val="nil"/>
              <w:right w:val="nil"/>
            </w:tcBorders>
            <w:vAlign w:val="bottom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nil"/>
              <w:bottom w:val="nil"/>
              <w:right w:val="nil"/>
            </w:tcBorders>
            <w:vAlign w:val="bottom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35" w:type="dxa"/>
            <w:tcBorders>
              <w:top w:val="single" w:sz="2" w:space="0" w:color="auto"/>
              <w:left w:val="nil"/>
              <w:bottom w:val="nil"/>
              <w:right w:val="nil"/>
            </w:tcBorders>
            <w:vAlign w:val="bottom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7114CE">
        <w:trPr>
          <w:trHeight w:val="283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9934EA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* </w:t>
            </w:r>
          </w:p>
        </w:tc>
        <w:tc>
          <w:tcPr>
            <w:tcW w:w="14025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9934EA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Osoby, o których mowa w art.34 ust.1 ustawy o gospodarce nieruchomościami nabywają nieruchomość za cenę określoną na podstawie art.67 ust.3 ustawy o gospodarce nieruchomościami. </w:t>
            </w:r>
          </w:p>
        </w:tc>
      </w:tr>
      <w:tr w:rsidR="007114CE">
        <w:trPr>
          <w:trHeight w:val="495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9934EA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1. </w:t>
            </w:r>
          </w:p>
        </w:tc>
        <w:tc>
          <w:tcPr>
            <w:tcW w:w="14025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9934EA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Pierwszeństwo w nabyciu nieruchomości określonych w powyższym wykazie</w:t>
            </w:r>
            <w:r>
              <w:rPr>
                <w:sz w:val="18"/>
              </w:rPr>
              <w:t xml:space="preserve"> dotyczy osób, którym przysługuje roszczenie o nabycie nieruchomości z mocy ustawy o gospodarce nieruchomościami lub odrębnych przepisów, jeżeli złożą wniosek o nabycie przed upływem terminu określonego w wykazie: termin złożenia wniosku nie może być króts</w:t>
            </w:r>
            <w:r>
              <w:rPr>
                <w:sz w:val="18"/>
              </w:rPr>
              <w:t xml:space="preserve">zy niż 6 tygodni, licząc od dnia wywieszenia wykazu. </w:t>
            </w:r>
          </w:p>
        </w:tc>
      </w:tr>
      <w:tr w:rsidR="007114CE"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9934EA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2.</w:t>
            </w:r>
          </w:p>
        </w:tc>
        <w:tc>
          <w:tcPr>
            <w:tcW w:w="14025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9934EA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Pierwszej opłaty z tyt. ustanowienia prawa użytkowania wieczystego nie pobiera się na podstawie art. 71 ust. 5 pkt 2 ustawy o gospodarce nieruchomościami.</w:t>
            </w:r>
          </w:p>
        </w:tc>
      </w:tr>
      <w:tr w:rsidR="007114CE"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9934EA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3. </w:t>
            </w:r>
          </w:p>
        </w:tc>
        <w:tc>
          <w:tcPr>
            <w:tcW w:w="14025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9934EA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Kolejne opłaty roczne, stanowiące 3% </w:t>
            </w:r>
            <w:r>
              <w:rPr>
                <w:sz w:val="18"/>
              </w:rPr>
              <w:t>wartości gruntu (plus VAT - zgodnie z obowiązującymi przepisami) i płatne są z góry w terminie do 31 marca każdego roku.</w:t>
            </w:r>
          </w:p>
        </w:tc>
      </w:tr>
      <w:tr w:rsidR="007114CE"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9934EA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4. </w:t>
            </w:r>
          </w:p>
        </w:tc>
        <w:tc>
          <w:tcPr>
            <w:tcW w:w="14025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9934EA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Wysokość opłat rocznych może być aktualizowana na skutek zmian wartości gruntu, nie częściej niż raz na 3 lata.</w:t>
            </w:r>
          </w:p>
        </w:tc>
      </w:tr>
      <w:tr w:rsidR="007114CE">
        <w:trPr>
          <w:trHeight w:val="264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4025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7114CE">
        <w:trPr>
          <w:trHeight w:val="495"/>
        </w:trPr>
        <w:tc>
          <w:tcPr>
            <w:tcW w:w="14565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9934EA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18"/>
              </w:rPr>
              <w:t xml:space="preserve">Sporządził: </w:t>
            </w:r>
            <w:r>
              <w:rPr>
                <w:i/>
                <w:sz w:val="18"/>
              </w:rPr>
              <w:t>Aleksandra Kłos, Starszy Inspektor</w:t>
            </w:r>
          </w:p>
        </w:tc>
      </w:tr>
    </w:tbl>
    <w:p w:rsidR="00A77B3E" w:rsidRDefault="00A77B3E">
      <w:pPr>
        <w:rPr>
          <w:color w:val="000000"/>
          <w:u w:color="000000"/>
        </w:rPr>
      </w:pP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B3E"/>
    <w:rsid w:val="007114CE"/>
    <w:rsid w:val="009934EA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455</Words>
  <Characters>2732</Characters>
  <Application>Microsoft Office Word</Application>
  <DocSecurity>0</DocSecurity>
  <Lines>22</Lines>
  <Paragraphs>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3181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sporządzenia i^ogłoszenia wykazu nieruchomości przeznaczonych do zbycia</dc:subject>
  <dc:creator>alklo</dc:creator>
  <cp:lastModifiedBy>Aleksandra Kłos</cp:lastModifiedBy>
  <cp:revision>2</cp:revision>
  <dcterms:created xsi:type="dcterms:W3CDTF">2022-10-17T07:21:00Z</dcterms:created>
  <dcterms:modified xsi:type="dcterms:W3CDTF">2022-10-17T07:21:00Z</dcterms:modified>
  <cp:category>Akt prawny</cp:category>
</cp:coreProperties>
</file>