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450/2022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450/2022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461"/>
        <w:gridCol w:w="1967"/>
        <w:gridCol w:w="1066"/>
        <w:gridCol w:w="901"/>
        <w:gridCol w:w="811"/>
        <w:gridCol w:w="3123"/>
        <w:gridCol w:w="1441"/>
        <w:gridCol w:w="241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Zagonowa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EL1E/00033113/8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91/49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Boks garażowy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o pow. użytkowej 16,22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superscript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bezprzetargowo, na rzecz najemcy.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19.050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4.590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450/2022 z dnia 4 października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2022-10-10T14:48:22Z</dcterms:created>
  <dcterms:modified xsi:type="dcterms:W3CDTF">2022-10-10T14:48:22Z</dcterms:modified>
  <cp:category>Akt prawny</cp:category>
</cp:coreProperties>
</file>