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407/2022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września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1899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407/2022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101"/>
        <w:gridCol w:w="2327"/>
        <w:gridCol w:w="1021"/>
        <w:gridCol w:w="1066"/>
        <w:gridCol w:w="871"/>
        <w:gridCol w:w="3183"/>
        <w:gridCol w:w="1216"/>
        <w:gridCol w:w="2042"/>
        <w:gridCol w:w="36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Łódzka</w:t>
            </w:r>
          </w:p>
        </w:tc>
        <w:tc>
          <w:tcPr>
            <w:tcW w:w="2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EL1E/00051378/5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357/7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0,0069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Nieruchomość niezabudowana. </w:t>
            </w:r>
          </w:p>
          <w:p>
            <w:pPr>
              <w:jc w:val="center"/>
            </w:pPr>
            <w:r>
              <w:rPr>
                <w:sz w:val="20"/>
              </w:rPr>
              <w:t xml:space="preserve"> Działka zbywana w trybie art. 37 ust.2 pkt 6) u.g.n.,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8.931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1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2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1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Arleta Torbicz, Starszy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407/2022 z dnia 14 września 2022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2022-09-19T08:12:09Z</dcterms:created>
  <dcterms:modified xsi:type="dcterms:W3CDTF">2022-09-19T08:12:09Z</dcterms:modified>
  <cp:category>Akt prawny</cp:category>
</cp:coreProperties>
</file>