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D203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415/2022</w:t>
      </w:r>
      <w:r>
        <w:rPr>
          <w:b/>
          <w:caps/>
        </w:rPr>
        <w:br/>
        <w:t>Prezydenta Miasta Elbląg</w:t>
      </w:r>
    </w:p>
    <w:p w:rsidR="00A77B3E" w:rsidRDefault="00CD2037">
      <w:pPr>
        <w:spacing w:before="280" w:after="280"/>
        <w:jc w:val="center"/>
        <w:rPr>
          <w:b/>
          <w:caps/>
        </w:rPr>
      </w:pPr>
      <w:r>
        <w:t>z dnia 14 września 2022 r.</w:t>
      </w:r>
    </w:p>
    <w:p w:rsidR="00A77B3E" w:rsidRDefault="00CD2037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CD2037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(t.j.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2022 r. poz. 1360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:rsidR="00A77B3E" w:rsidRDefault="00CD2037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CD203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>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CD203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</w:t>
      </w:r>
      <w:r>
        <w:rPr>
          <w:color w:val="000000"/>
          <w:u w:color="000000"/>
        </w:rPr>
        <w:t>ności zostaną określone w protokole z rokowań.</w:t>
      </w:r>
    </w:p>
    <w:p w:rsidR="00A77B3E" w:rsidRDefault="00CD203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D2037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CD2037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415/2022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14 września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CA2A55"/>
    <w:rsid w:val="00CD2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1303B9C-0262-4E73-A61A-60D613394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3016D637-26B0-4401-8EBB-8AF0704866B4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1464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415/2022 z dnia 14 września 2022 r.</vt:lpstr>
      <vt:lpstr/>
    </vt:vector>
  </TitlesOfParts>
  <Company>Prezydent Miasta Elbląg</Company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415/2022 z dnia 14 września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2022-09-14T11:10:00Z</dcterms:created>
  <dcterms:modified xsi:type="dcterms:W3CDTF">2022-09-14T11:10:00Z</dcterms:modified>
  <cp:category>Akt prawny</cp:category>
</cp:coreProperties>
</file>