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C2310" w14:textId="77777777" w:rsidR="00A77B3E" w:rsidRDefault="00F153EC">
      <w:pPr>
        <w:spacing w:before="120" w:after="120"/>
        <w:jc w:val="center"/>
        <w:rPr>
          <w:color w:val="000000"/>
          <w:u w:color="000000"/>
        </w:rPr>
      </w:pPr>
      <w:r>
        <w:rPr>
          <w:b/>
          <w:caps/>
        </w:rPr>
        <w:t>Zarządzenie Nr 503/2020</w:t>
      </w:r>
      <w:r>
        <w:rPr>
          <w:b/>
          <w:caps/>
        </w:rPr>
        <w:br/>
        <w:t>Prezydenta Miasta Elbląg</w:t>
      </w:r>
    </w:p>
    <w:p w14:paraId="5A69F022" w14:textId="77777777" w:rsidR="00A77B3E" w:rsidRDefault="00F153EC">
      <w:pPr>
        <w:spacing w:before="120" w:after="1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 dnia 17 grudnia 2020 r.</w:t>
      </w:r>
    </w:p>
    <w:p w14:paraId="2D2E2198" w14:textId="77777777" w:rsidR="00A77B3E" w:rsidRDefault="00F153EC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 sprawie ustanowienia służebności gruntowej na nieruchomości Gminy Miasto Elbląg, położonej przy ul. Romualda Mielczarskiego w Elblągu.</w:t>
      </w:r>
    </w:p>
    <w:p w14:paraId="5DCB8481" w14:textId="77777777" w:rsidR="00A77B3E" w:rsidRDefault="00F153EC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Na podstawie art. 30 ust. 2 pkt 3 </w:t>
      </w:r>
      <w:r>
        <w:rPr>
          <w:color w:val="000000"/>
          <w:u w:color="000000"/>
        </w:rPr>
        <w:t>ustawy z dnia 8 marca 1990 r. o samorządzie gminnym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713 ze zm.) oraz § 15 Zasad nabywania, zbywania i obciążania nieruchomości Gminy Miasto Elbląg oraz ich wydzierżawiania lub wynajmowania na czas oznaczony dłuższy niż trzy lata</w:t>
      </w:r>
      <w:r>
        <w:rPr>
          <w:color w:val="000000"/>
          <w:u w:color="000000"/>
        </w:rPr>
        <w:t xml:space="preserve"> lub czas nieoznaczony, stanowiących załącznik do uchwały Nr XIV/265/2008 Rady Miejskiej w Elblągu z dnia 24 kwietnia 2008 r. w sprawie określenia zasad nabywania, zbywania i obciążania nieruchomości Gminy Miasto Elbląg oraz ich wydzierżawiania lub wynajmo</w:t>
      </w:r>
      <w:r>
        <w:rPr>
          <w:color w:val="000000"/>
          <w:u w:color="000000"/>
        </w:rPr>
        <w:t>wania na czas oznaczony dłuższy niż trzy lata lub na czas nieoznaczony (Dz. Urz. Woj. Warmińsko – Mazurskiego z 2016 r. poz. 3794),</w:t>
      </w:r>
    </w:p>
    <w:p w14:paraId="63A74338" w14:textId="77777777" w:rsidR="00A77B3E" w:rsidRDefault="00F153EC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22CAACF0" w14:textId="77777777" w:rsidR="00A77B3E" w:rsidRDefault="00F153E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ustanowić na nieruchomości gruntowej stanowiącej własność Gminy Miasto El</w:t>
      </w:r>
      <w:r>
        <w:rPr>
          <w:color w:val="000000"/>
          <w:u w:color="000000"/>
        </w:rPr>
        <w:t>bląg, położonej w Elblągu przy ul. Romualda Mielczarskiego, oznaczonej w ewidencji gruntów i budynków w obrębie 22 jako działki nr: 218/33 o powierzchni 0,1386ha i 218/34 o powierzchni 0,0598ha, dla której Sąd Rejonowy w Elblągu prowadzi księgę wieczystą n</w:t>
      </w:r>
      <w:r>
        <w:rPr>
          <w:color w:val="000000"/>
          <w:u w:color="000000"/>
        </w:rPr>
        <w:t>r EL1E/00034238/7, służebność gruntową polegającą na prawie przejścia i przejazdu, w miejscu zaznaczonym kolorem pomarańczowym, na mapie stanowiącej załącznik do niniejszego zarządzenia, na rzecz każdoczesnego właściciela działek nr: 144/7, 144/8, 144/9 i </w:t>
      </w:r>
      <w:r>
        <w:rPr>
          <w:color w:val="000000"/>
          <w:u w:color="000000"/>
        </w:rPr>
        <w:t>142/4 w obrębie 22, dla których Sąd Rejonowy w Elblągu prowadzi księgę wieczystą nr EL1E/00034238/7.</w:t>
      </w:r>
    </w:p>
    <w:p w14:paraId="545934C0" w14:textId="77777777" w:rsidR="00A77B3E" w:rsidRDefault="00F153EC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14:paraId="7D49811D" w14:textId="77777777" w:rsidR="00F2031E" w:rsidRDefault="00F2031E">
      <w:pPr>
        <w:rPr>
          <w:szCs w:val="20"/>
          <w:lang w:val="x-none" w:eastAsia="en-US" w:bidi="ar-SA"/>
        </w:rPr>
      </w:pPr>
    </w:p>
    <w:p w14:paraId="07EB2DCC" w14:textId="77777777" w:rsidR="00F2031E" w:rsidRDefault="00F153EC">
      <w:pPr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 w14:paraId="6448B31D" w14:textId="77777777" w:rsidR="00F2031E" w:rsidRDefault="00F153EC">
      <w:pPr>
        <w:spacing w:before="120" w:after="12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Gmina Miasto Elbląg jest właścicielem nieruchomości gruntowej położonej prz</w:t>
      </w:r>
      <w:r>
        <w:rPr>
          <w:szCs w:val="20"/>
          <w:lang w:val="x-none" w:eastAsia="en-US" w:bidi="ar-SA"/>
        </w:rPr>
        <w:t>y</w:t>
      </w:r>
      <w:r>
        <w:rPr>
          <w:szCs w:val="20"/>
          <w:lang w:val="x-none" w:eastAsia="en-US" w:bidi="ar-SA"/>
        </w:rPr>
        <w:br/>
        <w:t xml:space="preserve">ul. </w:t>
      </w:r>
      <w:r>
        <w:rPr>
          <w:szCs w:val="20"/>
        </w:rPr>
        <w:t>Romualda Mielczarskiego</w:t>
      </w:r>
      <w:r>
        <w:rPr>
          <w:szCs w:val="20"/>
          <w:lang w:val="x-none" w:eastAsia="en-US" w:bidi="ar-SA"/>
        </w:rPr>
        <w:t xml:space="preserve"> w Elblągu, oznaczonej w ewidencji gruntów i budynków w obrębie </w:t>
      </w:r>
      <w:r>
        <w:rPr>
          <w:szCs w:val="20"/>
        </w:rPr>
        <w:t>22</w:t>
      </w:r>
      <w:r>
        <w:rPr>
          <w:szCs w:val="20"/>
          <w:lang w:val="x-none" w:eastAsia="en-US" w:bidi="ar-SA"/>
        </w:rPr>
        <w:t> </w:t>
      </w:r>
      <w:r>
        <w:rPr>
          <w:szCs w:val="20"/>
        </w:rPr>
        <w:t xml:space="preserve"> </w:t>
      </w:r>
      <w:r>
        <w:rPr>
          <w:szCs w:val="20"/>
          <w:lang w:val="x-none" w:eastAsia="en-US" w:bidi="ar-SA"/>
        </w:rPr>
        <w:t>jako działk</w:t>
      </w:r>
      <w:r>
        <w:rPr>
          <w:szCs w:val="20"/>
        </w:rPr>
        <w:t xml:space="preserve">i </w:t>
      </w:r>
      <w:r>
        <w:rPr>
          <w:szCs w:val="20"/>
          <w:lang w:val="x-none" w:eastAsia="en-US" w:bidi="ar-SA"/>
        </w:rPr>
        <w:t>nr</w:t>
      </w:r>
      <w:r>
        <w:rPr>
          <w:szCs w:val="20"/>
        </w:rPr>
        <w:t>:</w:t>
      </w:r>
      <w:r>
        <w:rPr>
          <w:szCs w:val="20"/>
          <w:lang w:val="x-none" w:eastAsia="en-US" w:bidi="ar-SA"/>
        </w:rPr>
        <w:t xml:space="preserve"> </w:t>
      </w:r>
      <w:r>
        <w:rPr>
          <w:szCs w:val="20"/>
        </w:rPr>
        <w:t>218/33</w:t>
      </w:r>
      <w:r>
        <w:rPr>
          <w:szCs w:val="20"/>
          <w:lang w:val="x-none" w:eastAsia="en-US" w:bidi="ar-SA"/>
        </w:rPr>
        <w:t xml:space="preserve"> o powierzchni 0,</w:t>
      </w:r>
      <w:r>
        <w:rPr>
          <w:szCs w:val="20"/>
        </w:rPr>
        <w:t>1386</w:t>
      </w:r>
      <w:r>
        <w:rPr>
          <w:szCs w:val="20"/>
          <w:lang w:val="x-none" w:eastAsia="en-US" w:bidi="ar-SA"/>
        </w:rPr>
        <w:t>ha</w:t>
      </w:r>
      <w:r>
        <w:rPr>
          <w:szCs w:val="20"/>
        </w:rPr>
        <w:t xml:space="preserve"> i 218/34 o powierzchni 0,0598ha</w:t>
      </w:r>
      <w:r>
        <w:rPr>
          <w:szCs w:val="20"/>
          <w:lang w:val="x-none" w:eastAsia="en-US" w:bidi="ar-SA"/>
        </w:rPr>
        <w:t>, dla której Sąd Rejonowy w Elblągu prowadzi księgę wieczystą nr EL1E/000</w:t>
      </w:r>
      <w:r>
        <w:rPr>
          <w:szCs w:val="20"/>
        </w:rPr>
        <w:t>34238/7</w:t>
      </w:r>
      <w:r>
        <w:rPr>
          <w:szCs w:val="20"/>
          <w:lang w:val="x-none" w:eastAsia="en-US" w:bidi="ar-SA"/>
        </w:rPr>
        <w:t>.</w:t>
      </w:r>
    </w:p>
    <w:p w14:paraId="540C4EBA" w14:textId="77777777" w:rsidR="00F2031E" w:rsidRDefault="00F153EC">
      <w:pPr>
        <w:spacing w:before="120" w:after="120"/>
        <w:rPr>
          <w:szCs w:val="20"/>
          <w:lang w:val="x-none" w:eastAsia="en-US" w:bidi="ar-SA"/>
        </w:rPr>
      </w:pPr>
      <w:r>
        <w:rPr>
          <w:szCs w:val="20"/>
        </w:rPr>
        <w:t xml:space="preserve">W decyzji nr DGNiG-RGiK.6831.81.2019.BC z dnia 6 listopada 2019r. zatwierdzającej projekt podziału zapisano, że dostęp nowo projektowanej działki nr 142/4 do drogi publicznej, zostanie zapewniony poprzez służebność gruntową, polegającą na prawie przejścia </w:t>
      </w:r>
      <w:r>
        <w:rPr>
          <w:szCs w:val="20"/>
        </w:rPr>
        <w:t xml:space="preserve">i przejazdu przez działki </w:t>
      </w:r>
      <w:r>
        <w:rPr>
          <w:szCs w:val="20"/>
        </w:rPr>
        <w:br/>
        <w:t>nr 218/33, 218/34, 144/9 w obrębie 22</w:t>
      </w:r>
      <w:r>
        <w:rPr>
          <w:szCs w:val="20"/>
          <w:lang w:val="x-none" w:eastAsia="en-US" w:bidi="ar-SA"/>
        </w:rPr>
        <w:t>.</w:t>
      </w:r>
    </w:p>
    <w:p w14:paraId="773524B0" w14:textId="77777777" w:rsidR="00F2031E" w:rsidRDefault="00F153EC">
      <w:pPr>
        <w:spacing w:before="120" w:after="12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 xml:space="preserve">W związku </w:t>
      </w:r>
      <w:r>
        <w:rPr>
          <w:szCs w:val="20"/>
        </w:rPr>
        <w:t>ze sprzedażą działek 144/7, 144/8, 144/9 i 142/4 w obrębie 22,</w:t>
      </w:r>
      <w:r>
        <w:rPr>
          <w:szCs w:val="20"/>
          <w:lang w:val="x-none" w:eastAsia="en-US" w:bidi="ar-SA"/>
        </w:rPr>
        <w:t xml:space="preserve"> postanawia się obciążyć działk</w:t>
      </w:r>
      <w:r>
        <w:rPr>
          <w:szCs w:val="20"/>
        </w:rPr>
        <w:t>i</w:t>
      </w:r>
      <w:r>
        <w:rPr>
          <w:szCs w:val="20"/>
          <w:lang w:val="x-none" w:eastAsia="en-US" w:bidi="ar-SA"/>
        </w:rPr>
        <w:t xml:space="preserve"> nr </w:t>
      </w:r>
      <w:r>
        <w:rPr>
          <w:szCs w:val="20"/>
        </w:rPr>
        <w:t>218/33, 218/34</w:t>
      </w:r>
      <w:r>
        <w:rPr>
          <w:szCs w:val="20"/>
          <w:lang w:val="x-none" w:eastAsia="en-US" w:bidi="ar-SA"/>
        </w:rPr>
        <w:t xml:space="preserve"> służebnością gruntową, polegającą na prawie przejścia i przejazdu, </w:t>
      </w:r>
      <w:r>
        <w:rPr>
          <w:szCs w:val="20"/>
          <w:lang w:val="x-none" w:eastAsia="en-US" w:bidi="ar-SA"/>
        </w:rPr>
        <w:t xml:space="preserve">na rzecz każdoczesnego właściciela </w:t>
      </w:r>
      <w:proofErr w:type="spellStart"/>
      <w:r>
        <w:rPr>
          <w:szCs w:val="20"/>
          <w:lang w:val="x-none" w:eastAsia="en-US" w:bidi="ar-SA"/>
        </w:rPr>
        <w:t>dział</w:t>
      </w:r>
      <w:r>
        <w:rPr>
          <w:szCs w:val="20"/>
        </w:rPr>
        <w:t>e</w:t>
      </w:r>
      <w:proofErr w:type="spellEnd"/>
      <w:r>
        <w:rPr>
          <w:szCs w:val="20"/>
          <w:lang w:val="x-none" w:eastAsia="en-US" w:bidi="ar-SA"/>
        </w:rPr>
        <w:t xml:space="preserve">k nr </w:t>
      </w:r>
      <w:r>
        <w:rPr>
          <w:szCs w:val="20"/>
        </w:rPr>
        <w:t>144/7, 144/8, 144/9 i</w:t>
      </w:r>
      <w:r>
        <w:rPr>
          <w:szCs w:val="20"/>
          <w:lang w:val="x-none" w:eastAsia="en-US" w:bidi="ar-SA"/>
        </w:rPr>
        <w:t xml:space="preserve"> </w:t>
      </w:r>
      <w:r>
        <w:rPr>
          <w:szCs w:val="20"/>
        </w:rPr>
        <w:t>142/4 w obrębie 22, dla których zostanie założona nowa księga wieczysta, w miejscu zaznaczonym kolorem pomarańczowym, na mapie stanowiącej załącznik do niniejszego zarządzenia</w:t>
      </w:r>
      <w:r>
        <w:rPr>
          <w:szCs w:val="20"/>
          <w:lang w:val="x-none" w:eastAsia="en-US" w:bidi="ar-SA"/>
        </w:rPr>
        <w:t>.</w:t>
      </w:r>
    </w:p>
    <w:sectPr w:rsidR="00F2031E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CA2A55"/>
    <w:rsid w:val="00F153EC"/>
    <w:rsid w:val="00F20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52A469"/>
  <w15:docId w15:val="{B527F365-9B88-47DE-9B29-B6F13913D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397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ustanowienia służebności gruntowej na nieruchomości Gminy Miasto Elbląg, położonej przy ul. Romualda Mielczarskiego w^Elblągu.</dc:subject>
  <dc:creator>jodan</dc:creator>
  <cp:lastModifiedBy>Joanna Danilewicz</cp:lastModifiedBy>
  <cp:revision>2</cp:revision>
  <dcterms:created xsi:type="dcterms:W3CDTF">2022-06-27T07:29:00Z</dcterms:created>
  <dcterms:modified xsi:type="dcterms:W3CDTF">2022-06-27T07:29:00Z</dcterms:modified>
  <cp:category>Akt prawny</cp:category>
</cp:coreProperties>
</file>