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   241 /2022 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27 maja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wyrażenia zgody na nabycie na rzecz Gminy Miasto Elbląg prawa własności lokalu mieszkalnego nr 2 położonego w Elblągu przy ul. Robotniczej 70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 ze zm.) oraz § 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Gminy Miasto Elbląg oraz ich wydzierżawiania lub wynajmowania na czas oznaczony dłuższy niż trzy lata lub na czas nieoznaczony, stanowiących załącznik do uchwały Nr XIV/265/08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kwietnia 2008r. (Dz. Urz. Woj. Warmińsko-Mazurskiego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89,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3794),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 a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r z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ą d z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a   się, 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Postanawia się nabyć od Skarbu Państwa,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trybie bezprzetargowym, na rzecz Gminy Miasto Elbląg, prawo własności lokalu mieszkalnego położonego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Elblągu przy ul. Robotniczej 70/2, dla którego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Elblągu prowadzi księgę wieczystą KW Nr EL1E/00050813/0,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udziałem 0,18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częściach wspólnych,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tym nieruchomości gruntowej, oznaczonej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budynków,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obrębie 11, jako działka nr 423/16 o pow. 0,0148 ha, dla której Sąd Rejonowy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Elblągu prowadzi księgę wieczystą KW Nr EL1E/00041620/4 - za cenę niższą niż jej wartość rynkowa.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nabycia nieruchomości zostaną określone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protokole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umowy sporządzonej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 xml:space="preserve">Gmina </w:t>
      </w:r>
      <w:r>
        <w:rPr>
          <w:szCs w:val="20"/>
        </w:rPr>
        <w:t xml:space="preserve">Miasto </w:t>
      </w:r>
      <w:r>
        <w:rPr>
          <w:szCs w:val="20"/>
        </w:rPr>
        <w:t xml:space="preserve">Elbląg, </w:t>
      </w:r>
      <w:r>
        <w:rPr>
          <w:szCs w:val="20"/>
        </w:rPr>
        <w:t>wystąpiła do Wojewody Warmińsko-Mazurskiego z wnioskiem o przekazanie na jej rzecz prawa własności lokalu mieszkalnego, stanowiącego własność Skarbu Państwa, położonego w Elblągu przy ul. Robotniczej 70/2 wraz z udziałem 0,18 w częściach wspólnych, w tym nieruchomości gruntowej, oznaczonej w ewidencji gruntów i budynków, w obrębie 11, jako działka nr 423/16 o pow. 0,0148 ha. Wskazana we wniosku nieruchomość do dnia 12 listopada 1996 r. stanowiła własność Gminy Miasto Elbląg, następnie została zbyta z bonifikatą na rzecz najemców lokalu A.W. małżonków J. Zgodnie z Postanowieniem Sądu z dnia 23 lipca 2020 r., spadek po zmarłej A.J., nabył jej mąż W.J., natomiast po zmarłym dnia 4 maja 2003r. W.J., nabył w całości Skarb Państwa.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 xml:space="preserve">Przedmiotowy lokal nr 2, obecnie zamieszkiwany jest przez 3 osobową rodzinę, które nie posiada do niego tytułu prawnego.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W myśl przepisów art.7 ust.1 pkt 1 ustawy z dnia 8 marca 1990r. o samorządzie gminnym oraz art.4 ustawy z dnia 21 czerwca 2001r. o ochronie praw lokatorów, mieszkaniowym zasobie nieruchomości i zmianie kodeksu cywilnego, do zadań własnych gminy należą zadania, obejmujące sprawy gminnego budownictwa mieszkaniowego oraz tworzenia warunków do zaspokajania potrzeb mieszkaniowych wspólnoty samorządowej. Gmina ma obowiązek zapewnienia lokali w ramach najmu socjalnego oraz lokali zamiennych, a także zaspokajania potrzeb mieszkaniowych gospodarstw domowych o niskich dochodach.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Nab</w:t>
      </w:r>
      <w:r>
        <w:rPr>
          <w:szCs w:val="20"/>
        </w:rPr>
        <w:t>ycie przedmiotow</w:t>
      </w:r>
      <w:r>
        <w:rPr>
          <w:szCs w:val="20"/>
        </w:rPr>
        <w:t xml:space="preserve">ej </w:t>
      </w:r>
      <w:r>
        <w:rPr>
          <w:szCs w:val="20"/>
        </w:rPr>
        <w:t xml:space="preserve">nieruchomości przez Gminę Miasto Elbląg nastąpi w trybie art. 14 ust. 1 ustawy o gospodarce nieruchomościami - za cenę obniżoną 1,00 zł </w:t>
      </w:r>
      <w:r>
        <w:rPr>
          <w:szCs w:val="20"/>
        </w:rPr>
        <w:t xml:space="preserve"> netto. 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</w:rPr>
      </w:pPr>
      <w:r>
        <w:rPr>
          <w:szCs w:val="20"/>
        </w:rPr>
        <w:t>Wobec powyższego  nabycie przez Gminę Miasto Elbląg ww. nieruchomości jest uzasadnione.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0"/>
        <w:contextualSpacing w:val="0"/>
        <w:rPr>
          <w:szCs w:val="20"/>
        </w:rPr>
      </w:pPr>
    </w:p>
    <w:sectPr>
      <w:endnotePr>
        <w:numFmt w:val="decimal"/>
      </w:endnotePr>
      <w:type w:val="nextPage"/>
      <w:pgSz w:w="11906" w:h="16838" w:code="0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  241 /2022  z dnia 27 maja 2022 r.</dc:title>
  <dc:subject>w sprawie wyrażenia zgody na nabycie na rzecz Gminy Miasto Elbląg prawa własności lokalu mieszkalnego nr 2^położonego w^Elblągu przy ul. Robotniczej 70</dc:subject>
  <dc:creator>maszn</dc:creator>
  <cp:lastModifiedBy>maszn</cp:lastModifiedBy>
  <cp:revision>1</cp:revision>
  <dcterms:created xsi:type="dcterms:W3CDTF">2022-05-31T15:03:55Z</dcterms:created>
  <dcterms:modified xsi:type="dcterms:W3CDTF">2022-05-31T15:03:55Z</dcterms:modified>
  <cp:category>Akt prawny</cp:category>
</cp:coreProperties>
</file>