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15385">
      <w:pPr>
        <w:jc w:val="center"/>
        <w:rPr>
          <w:b/>
          <w:caps/>
        </w:rPr>
      </w:pPr>
      <w:r>
        <w:rPr>
          <w:b/>
          <w:caps/>
        </w:rPr>
        <w:t>Zarządzenie Nr 254/2022</w:t>
      </w:r>
      <w:r>
        <w:rPr>
          <w:b/>
          <w:caps/>
        </w:rPr>
        <w:br/>
        <w:t>Prezydenta Miasta Elbląg</w:t>
      </w:r>
    </w:p>
    <w:p w:rsidR="00A77B3E" w:rsidRDefault="00B15385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B1538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B15385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</w:t>
      </w:r>
      <w:r>
        <w:rPr>
          <w:sz w:val="24"/>
        </w:rPr>
        <w:t xml:space="preserve"> Dz.U. z 2021 r. poz. 1899 ze zm.)</w:t>
      </w:r>
    </w:p>
    <w:p w:rsidR="00A77B3E" w:rsidRDefault="00B1538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1538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B1538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</w:t>
      </w:r>
      <w:r>
        <w:rPr>
          <w:color w:val="000000"/>
          <w:u w:color="000000"/>
        </w:rPr>
        <w:t>ch nieruchomości zostaną ustalone we właściwych protokołach.</w:t>
      </w:r>
    </w:p>
    <w:p w:rsidR="00A77B3E" w:rsidRDefault="00B1538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B1538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1, podlega ogłoszeniu poprzez </w:t>
      </w:r>
      <w:r>
        <w:rPr>
          <w:color w:val="000000"/>
          <w:u w:color="000000"/>
        </w:rPr>
        <w:t>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B1538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B1538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15385" w:rsidRDefault="00B15385">
      <w:pPr>
        <w:keepLines/>
        <w:spacing w:before="120" w:after="120"/>
        <w:rPr>
          <w:color w:val="000000"/>
          <w:u w:color="000000"/>
        </w:rPr>
        <w:sectPr w:rsidR="00B1538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B15385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254/2022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27 maja 2022 r.</w:t>
      </w:r>
    </w:p>
    <w:p w:rsidR="00A77B3E" w:rsidRDefault="00B1538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</w:t>
      </w:r>
      <w:r>
        <w:rPr>
          <w:b/>
          <w:color w:val="000000"/>
          <w:u w:color="000000"/>
        </w:rPr>
        <w:t>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102"/>
        <w:gridCol w:w="2327"/>
        <w:gridCol w:w="1021"/>
        <w:gridCol w:w="1066"/>
        <w:gridCol w:w="871"/>
        <w:gridCol w:w="3183"/>
        <w:gridCol w:w="1216"/>
        <w:gridCol w:w="2042"/>
        <w:gridCol w:w="360"/>
      </w:tblGrid>
      <w:tr w:rsidR="00E93531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E93531" w:rsidRDefault="00B15385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E9353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93531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295/7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0,0080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E93531" w:rsidRDefault="00B15385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14.507 zł</w:t>
            </w:r>
          </w:p>
        </w:tc>
      </w:tr>
      <w:tr w:rsidR="00E93531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B1538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E93531" w:rsidRDefault="00B1538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E93531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93531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93531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15385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</w:t>
            </w:r>
            <w:r>
              <w:rPr>
                <w:sz w:val="18"/>
              </w:rPr>
              <w:t>ustawy o gospodarce nieruchomościami nabywają nieruchomość za cenę określoną na podstawie art.67 ust.3 ustawy o gospodarce nieruchomościami. </w:t>
            </w:r>
          </w:p>
          <w:p w:rsidR="00E93531" w:rsidRDefault="00B15385">
            <w:r>
              <w:rPr>
                <w:sz w:val="18"/>
              </w:rPr>
              <w:t xml:space="preserve">Pierwszeństwo w nabyciu nieruchomości określonych w powyższym wykazie dotyczy osób, którym przysługuje roszczenie </w:t>
            </w:r>
            <w:r>
              <w:rPr>
                <w:sz w:val="18"/>
              </w:rPr>
              <w:t xml:space="preserve">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</w:t>
            </w:r>
            <w:r>
              <w:rPr>
                <w:sz w:val="18"/>
              </w:rPr>
              <w:t>wykazu.</w:t>
            </w:r>
          </w:p>
        </w:tc>
      </w:tr>
      <w:tr w:rsidR="00E93531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93531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1538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A77B3E"/>
    <w:rsid w:val="00B15385"/>
    <w:rsid w:val="00CA2A55"/>
    <w:rsid w:val="00E9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385B7E-B39B-48E6-80F8-AFF523EF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254/2022 z dnia 27 maja 2022 r.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2022-06-01T10:55:00Z</dcterms:created>
  <dcterms:modified xsi:type="dcterms:W3CDTF">2022-06-01T08:55:00Z</dcterms:modified>
  <cp:category>Akt prawny</cp:category>
</cp:coreProperties>
</file>