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140/2022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kwietnia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140/2022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1441"/>
        <w:gridCol w:w="10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Malborska 38/9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32061/1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46/3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0,0168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Lokal mieszkalny nr 9 o pow. 17,4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46/1000 w częściach wspólnych i niepodzielnych oraz w prawie własności gruntu.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 tym: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38.156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1.844zł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Słoneczna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31809/0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60/26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0,0442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Działki niezabudowane, przeznaczone w mpzp pod zabudowę mieszkaniową wielorodzinną z dopuszczeniem funkcji usługowej.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4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Kosynierów Gdyńskich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53764/2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61/1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4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58/6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0,0043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Aleksandra Fredry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39439/1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0,1831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niezabudowana, Brak miejscowego planu zagospodarowania przestrzennego.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600.000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Freta 57a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47848/0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181/1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0,0244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niezabudowana, przeznaczona w mpzp pod zabudowę usługową z dopuszczeniem funkcji  mieszkaniowej.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Braniewska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36417/0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10/19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0,0026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niezabudowana, Brak miejscowego planu zagospodarowania przestrzennego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4.100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Browarna 88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39626/9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91/3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0,0425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niezabudowana, przeznaczona w mpzp pod zabudowę usługową.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110.000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3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140/2022 z dnia 5 kwietnia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2022-04-05T13:19:58Z</dcterms:created>
  <dcterms:modified xsi:type="dcterms:W3CDTF">2022-04-05T13:19:58Z</dcterms:modified>
  <cp:category>Akt prawny</cp:category>
</cp:coreProperties>
</file>