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1F5DC2">
      <w:pPr>
        <w:jc w:val="center"/>
        <w:rPr>
          <w:b/>
          <w:caps/>
        </w:rPr>
      </w:pPr>
      <w:r>
        <w:rPr>
          <w:b/>
          <w:caps/>
        </w:rPr>
        <w:t>Zarządzenie Nr 95/2022</w:t>
      </w:r>
      <w:r>
        <w:rPr>
          <w:b/>
          <w:caps/>
        </w:rPr>
        <w:br/>
        <w:t>Prezydenta Miasta Elbląg</w:t>
      </w:r>
    </w:p>
    <w:p w:rsidR="00A77B3E" w:rsidRDefault="001F5DC2">
      <w:pPr>
        <w:spacing w:before="280" w:after="280"/>
        <w:jc w:val="center"/>
        <w:rPr>
          <w:b/>
          <w:caps/>
        </w:rPr>
      </w:pPr>
      <w:r>
        <w:t>z dnia 23 marca</w:t>
      </w:r>
      <w:r>
        <w:t> 2022 r.</w:t>
      </w:r>
    </w:p>
    <w:p w:rsidR="00A77B3E" w:rsidRDefault="001F5DC2">
      <w:pPr>
        <w:keepNext/>
        <w:jc w:val="center"/>
      </w:pPr>
      <w:r>
        <w:rPr>
          <w:b/>
        </w:rPr>
        <w:t xml:space="preserve">w sprawie sporządzenia i ogłoszenia wykazu lokali mieszkalnych przeznaczonych do sprzedaży na rzecz najemców oraz udzielenia </w:t>
      </w:r>
      <w:r>
        <w:rPr>
          <w:b/>
        </w:rPr>
        <w:t>bonifikat od ceny sprzedaży lokali.</w:t>
      </w:r>
    </w:p>
    <w:p w:rsidR="00A77B3E" w:rsidRDefault="001F5DC2">
      <w:pPr>
        <w:keepLines/>
        <w:spacing w:before="120" w:after="120"/>
      </w:pPr>
      <w:r>
        <w:t>Na podstawie art.35 ust.1 i 2, art.37 ust.2 pkt 1 i art. 68 ust.1 pkt. 7 ustawy z dnia 21 sierpnia 1997 r. o gospodarce nieruchomościami (</w:t>
      </w:r>
      <w:proofErr w:type="spellStart"/>
      <w:r>
        <w:t>t.j</w:t>
      </w:r>
      <w:proofErr w:type="spellEnd"/>
      <w:r>
        <w:t xml:space="preserve">. Dz. U. z 2021 r. poz. 1899 ze zmianami) oraz §1 uchwały Nr XXIII/538/05 Rady </w:t>
      </w:r>
      <w:r>
        <w:t>Miejskiej w Elblągu z dnia 23 czerwca 2005 r. w sprawie zasad udzielania bonifikat od ceny sprzedaży lokali mieszkalnych na rzecz ich najemców (</w:t>
      </w:r>
      <w:proofErr w:type="spellStart"/>
      <w:r>
        <w:t>t.j</w:t>
      </w:r>
      <w:proofErr w:type="spellEnd"/>
      <w:r>
        <w:t xml:space="preserve">. </w:t>
      </w:r>
      <w:proofErr w:type="spellStart"/>
      <w:r>
        <w:t>Dz.Urz.Woj</w:t>
      </w:r>
      <w:proofErr w:type="spellEnd"/>
      <w:r>
        <w:t xml:space="preserve">. </w:t>
      </w:r>
      <w:proofErr w:type="spellStart"/>
      <w:r>
        <w:t>Warm</w:t>
      </w:r>
      <w:proofErr w:type="spellEnd"/>
      <w:r>
        <w:t>.-Mazur. z 2016 r. poz. 4693),</w:t>
      </w:r>
    </w:p>
    <w:p w:rsidR="00A77B3E" w:rsidRDefault="001F5DC2">
      <w:pPr>
        <w:spacing w:before="120" w:after="120"/>
        <w:jc w:val="center"/>
      </w:pPr>
      <w:r>
        <w:t>zarządza się, co następuje: </w:t>
      </w:r>
    </w:p>
    <w:p w:rsidR="00A77B3E" w:rsidRDefault="001F5DC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 xml:space="preserve">Z zasobu nieruchomości </w:t>
      </w:r>
      <w:r>
        <w:t>Gminy Miasto Elbląg przeznacza się do sprzedaży lokale mieszkalne wraz z udziałami w prawie własności przynależnych części nieruchomości gruntowych, szczegółowo opisanych w załączniku do niniejszego zarządzenia, na rzecz najemców tych lokali.</w:t>
      </w:r>
    </w:p>
    <w:p w:rsidR="00A77B3E" w:rsidRDefault="001F5DC2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Udziela si</w:t>
      </w:r>
      <w:r>
        <w:rPr>
          <w:color w:val="000000"/>
          <w:u w:color="000000"/>
        </w:rPr>
        <w:t>ę bonifikaty od ceny sprzedaży lokali mieszkalnych, o których mowa w ust.1, w wysokościach jak w załączniku do niniejszego zarządzenia.</w:t>
      </w:r>
    </w:p>
    <w:p w:rsidR="00A77B3E" w:rsidRDefault="001F5DC2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warunki sprzedaży nieruchomości lokalowych zostaną ustalone w protokołach </w:t>
      </w:r>
      <w:r>
        <w:rPr>
          <w:color w:val="000000"/>
          <w:u w:color="000000"/>
        </w:rPr>
        <w:br/>
        <w:t>z rokowań.</w:t>
      </w:r>
    </w:p>
    <w:p w:rsidR="00A77B3E" w:rsidRDefault="001F5DC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</w:t>
      </w:r>
      <w:r>
        <w:rPr>
          <w:color w:val="000000"/>
          <w:u w:color="000000"/>
        </w:rPr>
        <w:t xml:space="preserve"> wykaz nieruchomości przeznaczonych do zbycia, wymienionych w załączniku do niniejszego zarządzenia.</w:t>
      </w:r>
    </w:p>
    <w:p w:rsidR="00A77B3E" w:rsidRDefault="001F5DC2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 </w:t>
      </w:r>
      <w:r>
        <w:rPr>
          <w:color w:val="000000"/>
          <w:u w:color="000000"/>
        </w:rPr>
        <w:br/>
        <w:t>na tablicy ogłoszeń w siedzibie Urzędu Miejskiego w Elblągu na okres</w:t>
      </w:r>
      <w:r>
        <w:rPr>
          <w:color w:val="000000"/>
          <w:u w:color="000000"/>
        </w:rPr>
        <w:t xml:space="preserve"> 21 dni, a ponadto </w:t>
      </w:r>
      <w:r>
        <w:rPr>
          <w:color w:val="000000"/>
          <w:u w:color="000000"/>
        </w:rPr>
        <w:br/>
        <w:t>informacja o jego wywieszeniu podana zostanie do wiadomości publicznej poprzez ogłoszenie w prasie lokalnej.</w:t>
      </w:r>
    </w:p>
    <w:p w:rsidR="00A77B3E" w:rsidRDefault="001F5DC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nastąpi w drodze umów w formie aktu notarialnego.</w:t>
      </w:r>
    </w:p>
    <w:p w:rsidR="00A77B3E" w:rsidRDefault="001F5DC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</w:t>
      </w:r>
      <w:r>
        <w:rPr>
          <w:color w:val="000000"/>
          <w:u w:color="000000"/>
        </w:rPr>
        <w:t>iem podpisania.</w:t>
      </w:r>
    </w:p>
    <w:p w:rsidR="001F5DC2" w:rsidRDefault="001F5DC2">
      <w:pPr>
        <w:keepLines/>
        <w:spacing w:before="120" w:after="120"/>
        <w:rPr>
          <w:color w:val="000000"/>
          <w:u w:color="000000"/>
        </w:rPr>
        <w:sectPr w:rsidR="001F5DC2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1F5DC2">
      <w:pPr>
        <w:ind w:left="788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95</w:t>
      </w:r>
      <w:r>
        <w:rPr>
          <w:color w:val="000000"/>
          <w:u w:color="000000"/>
        </w:rPr>
        <w:t>/2022</w:t>
      </w:r>
      <w:r>
        <w:rPr>
          <w:color w:val="000000"/>
          <w:u w:color="000000"/>
        </w:rPr>
        <w:br/>
        <w:t>Prezydenta Miasta Elbląg </w:t>
      </w:r>
      <w:r>
        <w:rPr>
          <w:color w:val="000000"/>
          <w:u w:color="000000"/>
        </w:rPr>
        <w:br/>
        <w:t>z dnia 23 marca</w:t>
      </w:r>
      <w:bookmarkStart w:id="0" w:name="_GoBack"/>
      <w:bookmarkEnd w:id="0"/>
      <w:r>
        <w:rPr>
          <w:color w:val="000000"/>
          <w:u w:color="000000"/>
        </w:rPr>
        <w:t xml:space="preserve"> 2022 r.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87"/>
      </w:tblGrid>
      <w:tr w:rsidR="00AE7A2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1F5DC2">
      <w:pPr>
        <w:spacing w:before="120" w:after="12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 lokali mieszkalnych przeznaczonych do sprzedaży w trybie bezprzetargowym na rzecz ich najemców wraz z </w:t>
      </w:r>
      <w:r>
        <w:rPr>
          <w:b/>
          <w:color w:val="000000"/>
          <w:u w:color="000000"/>
        </w:rPr>
        <w:t>udziałem w prawie własności przynależnej części gruntu</w:t>
      </w:r>
      <w:r>
        <w:rPr>
          <w:color w:val="000000"/>
          <w:u w:color="000000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2972"/>
        <w:gridCol w:w="1156"/>
        <w:gridCol w:w="976"/>
        <w:gridCol w:w="1111"/>
        <w:gridCol w:w="901"/>
        <w:gridCol w:w="916"/>
        <w:gridCol w:w="1051"/>
        <w:gridCol w:w="2072"/>
        <w:gridCol w:w="1726"/>
        <w:gridCol w:w="631"/>
        <w:gridCol w:w="706"/>
      </w:tblGrid>
      <w:tr w:rsidR="00AE7A29">
        <w:trPr>
          <w:gridAfter w:val="1"/>
          <w:wAfter w:w="705" w:type="dxa"/>
        </w:trPr>
        <w:tc>
          <w:tcPr>
            <w:tcW w:w="1407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AE7A29">
        <w:trPr>
          <w:trHeight w:val="273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621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Oznaczenie lokalu </w:t>
            </w:r>
          </w:p>
        </w:tc>
        <w:tc>
          <w:tcPr>
            <w:tcW w:w="4935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Oznaczenie nieruchomości gruntowej </w:t>
            </w:r>
          </w:p>
        </w:tc>
        <w:tc>
          <w:tcPr>
            <w:tcW w:w="17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Cena nieruchomości lokalowej w zł</w:t>
            </w:r>
          </w:p>
        </w:tc>
        <w:tc>
          <w:tcPr>
            <w:tcW w:w="133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Stawka bonifikaty</w:t>
            </w:r>
            <w:r>
              <w:rPr>
                <w:color w:val="000000"/>
                <w:sz w:val="24"/>
                <w:u w:color="000000"/>
              </w:rPr>
              <w:br/>
              <w:t>w % </w:t>
            </w:r>
          </w:p>
        </w:tc>
      </w:tr>
      <w:tr w:rsidR="00AE7A29"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Ulica </w:t>
            </w:r>
          </w:p>
        </w:tc>
        <w:tc>
          <w:tcPr>
            <w:tcW w:w="11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 budynku </w:t>
            </w:r>
          </w:p>
        </w:tc>
        <w:tc>
          <w:tcPr>
            <w:tcW w:w="9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Nr </w:t>
            </w:r>
            <w:r>
              <w:rPr>
                <w:color w:val="000000"/>
                <w:sz w:val="24"/>
                <w:u w:color="000000"/>
              </w:rPr>
              <w:br/>
              <w:t>lokalu </w:t>
            </w: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 xml:space="preserve">Pow. </w:t>
            </w:r>
            <w:proofErr w:type="spellStart"/>
            <w:r>
              <w:rPr>
                <w:color w:val="000000"/>
                <w:sz w:val="24"/>
                <w:u w:color="000000"/>
              </w:rPr>
              <w:t>użytk</w:t>
            </w:r>
            <w:proofErr w:type="spellEnd"/>
            <w:r>
              <w:rPr>
                <w:color w:val="000000"/>
                <w:sz w:val="24"/>
                <w:u w:color="000000"/>
              </w:rPr>
              <w:t>. </w:t>
            </w:r>
            <w:r>
              <w:rPr>
                <w:color w:val="000000"/>
                <w:sz w:val="24"/>
                <w:u w:color="000000"/>
              </w:rPr>
              <w:br/>
              <w:t>w m</w:t>
            </w:r>
            <w:r>
              <w:rPr>
                <w:color w:val="000000"/>
                <w:sz w:val="24"/>
                <w:u w:color="000000"/>
                <w:vertAlign w:val="superscript"/>
              </w:rPr>
              <w:t>2</w:t>
            </w:r>
          </w:p>
        </w:tc>
        <w:tc>
          <w:tcPr>
            <w:tcW w:w="9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 działki</w:t>
            </w:r>
          </w:p>
        </w:tc>
        <w:tc>
          <w:tcPr>
            <w:tcW w:w="9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  obrębu</w:t>
            </w: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Pow. </w:t>
            </w:r>
            <w:r>
              <w:rPr>
                <w:color w:val="000000"/>
                <w:sz w:val="24"/>
                <w:u w:color="000000"/>
              </w:rPr>
              <w:br/>
              <w:t xml:space="preserve">w </w:t>
            </w:r>
            <w:r>
              <w:rPr>
                <w:color w:val="000000"/>
                <w:sz w:val="24"/>
                <w:u w:color="000000"/>
              </w:rPr>
              <w:t>ha </w:t>
            </w:r>
          </w:p>
        </w:tc>
        <w:tc>
          <w:tcPr>
            <w:tcW w:w="20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 KW </w:t>
            </w: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AE7A29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left"/>
              <w:rPr>
                <w:color w:val="000000"/>
                <w:u w:color="000000"/>
              </w:rPr>
            </w:pPr>
            <w:r>
              <w:t>Adama Asnyka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t>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t>23,6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t>326/1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t>0,0933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t>EL1E/00035278/6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t>74.300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AE7A29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left"/>
              <w:rPr>
                <w:color w:val="000000"/>
                <w:u w:color="000000"/>
              </w:rPr>
            </w:pPr>
            <w:r>
              <w:t>Aleksandra Fredry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t>39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t>35,3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t>32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t>0,0435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t>EL1E/00036844/2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t>113.300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t>70</w:t>
            </w:r>
          </w:p>
        </w:tc>
      </w:tr>
      <w:tr w:rsidR="00AE7A29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left"/>
              <w:rPr>
                <w:color w:val="000000"/>
                <w:u w:color="000000"/>
              </w:rPr>
            </w:pPr>
            <w:r>
              <w:t>Aleja Grunwaldzka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t>173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t>59,2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t>621/1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t>0,0504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t>EL1E/00033267/2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t>202.100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t>70</w:t>
            </w:r>
          </w:p>
        </w:tc>
      </w:tr>
      <w:tr w:rsidR="00AE7A29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left"/>
              <w:rPr>
                <w:color w:val="000000"/>
                <w:u w:color="000000"/>
              </w:rPr>
            </w:pPr>
            <w:r>
              <w:t>Królewiecka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t>49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t>4A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t>77,9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t>379/3</w:t>
            </w:r>
          </w:p>
          <w:p w:rsidR="00AE7A29" w:rsidRDefault="001F5DC2">
            <w:pPr>
              <w:jc w:val="center"/>
            </w:pPr>
            <w:r>
              <w:t>379/5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t>0,0204</w:t>
            </w:r>
          </w:p>
          <w:p w:rsidR="00AE7A29" w:rsidRDefault="001F5DC2">
            <w:pPr>
              <w:jc w:val="center"/>
            </w:pPr>
            <w:r>
              <w:t>0,1006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t>EL1E/00101409/8</w:t>
            </w:r>
          </w:p>
          <w:p w:rsidR="00AE7A29" w:rsidRDefault="001F5DC2">
            <w:pPr>
              <w:jc w:val="center"/>
            </w:pPr>
            <w:r>
              <w:t>EL1E/00101403/6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t>255.000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t>70</w:t>
            </w:r>
          </w:p>
        </w:tc>
      </w:tr>
      <w:tr w:rsidR="00AE7A29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left"/>
              <w:rPr>
                <w:color w:val="000000"/>
                <w:u w:color="000000"/>
              </w:rPr>
            </w:pPr>
            <w:r>
              <w:t>Malborska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t>84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t>23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t>32,5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t>217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t>0,0526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t>EL1E/00026449/0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t>131.800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t>65</w:t>
            </w:r>
          </w:p>
        </w:tc>
      </w:tr>
      <w:tr w:rsidR="00AE7A29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left"/>
              <w:rPr>
                <w:color w:val="000000"/>
                <w:u w:color="000000"/>
              </w:rPr>
            </w:pPr>
            <w:r>
              <w:t>Andrzeja Struga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t>21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t>43,0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t>47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t>0,0245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t>EL1E/00040941/3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t>146.800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1F5DC2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AE7A29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E7A29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1F5DC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*Osoby, o których mowa w art.34 ust.1 ustawy </w:t>
            </w:r>
            <w:r>
              <w:rPr>
                <w:sz w:val="16"/>
              </w:rPr>
              <w:t>o gospodarce nieruchomościami nabywają nieruchomość za cenę określoną na podstawie art.67 ust.3 ustawy o gospodarce nieruchomościami </w:t>
            </w:r>
          </w:p>
        </w:tc>
      </w:tr>
      <w:tr w:rsidR="00AE7A29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1F5DC2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Pierwszeństwo w nabyciu nieruchomości określonych w powyższym wykazie dotyczy osób, którym przysługuje roszczenie o nabyc</w:t>
            </w:r>
            <w:r>
              <w:rPr>
                <w:sz w:val="16"/>
              </w:rPr>
              <w:t>ie nieruchomości z mocy ustawy o gospodarce nieruchomościami lub odrębnych przepisów, jeżeli złożą wniosek o jej nabycie w terminie 6 tygodni, licząc od dnia wywieszenia wykazu. </w:t>
            </w:r>
          </w:p>
        </w:tc>
      </w:tr>
      <w:tr w:rsidR="00AE7A29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E7A29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1F5DC2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Sporządziła: Arleta Linda, Starszy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1F5DC2"/>
    <w:rsid w:val="00A77B3E"/>
    <w:rsid w:val="00AE7A29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3A854D1-9AA6-4E96-ABEA-33A4B4561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455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lokali mieszkalnych przeznaczonych do sprzedaży na rzecz najemców oraz udzielenia bonifikat od ceny sprzedaży lokali.</dc:subject>
  <dc:creator>arlin</dc:creator>
  <cp:lastModifiedBy>Arleta Linda</cp:lastModifiedBy>
  <cp:revision>2</cp:revision>
  <dcterms:created xsi:type="dcterms:W3CDTF">2022-03-28T09:10:00Z</dcterms:created>
  <dcterms:modified xsi:type="dcterms:W3CDTF">2022-03-28T07:11:00Z</dcterms:modified>
  <cp:category>Akt prawny</cp:category>
</cp:coreProperties>
</file>