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41646">
      <w:pPr>
        <w:jc w:val="center"/>
        <w:rPr>
          <w:b/>
          <w:caps/>
        </w:rPr>
      </w:pPr>
      <w:r>
        <w:rPr>
          <w:b/>
          <w:caps/>
        </w:rPr>
        <w:t>Zarządzenie Nr 74/2022</w:t>
      </w:r>
      <w:r>
        <w:rPr>
          <w:b/>
          <w:caps/>
        </w:rPr>
        <w:br/>
        <w:t>Prezydenta Miasta Elbląg</w:t>
      </w:r>
    </w:p>
    <w:p w:rsidR="00A77B3E" w:rsidRDefault="00541646">
      <w:pPr>
        <w:spacing w:before="280" w:after="280"/>
        <w:jc w:val="center"/>
        <w:rPr>
          <w:b/>
          <w:caps/>
        </w:rPr>
      </w:pPr>
      <w:r>
        <w:t>z dnia 9 marca 2022 r.</w:t>
      </w:r>
    </w:p>
    <w:p w:rsidR="00A77B3E" w:rsidRDefault="00541646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541646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>
        <w:rPr>
          <w:sz w:val="24"/>
        </w:rPr>
        <w:t>Dz.U. z 2021 r. poz. 1899 ze zm.)</w:t>
      </w:r>
    </w:p>
    <w:p w:rsidR="00A77B3E" w:rsidRDefault="0054164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4164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54164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</w:t>
      </w:r>
      <w:r>
        <w:rPr>
          <w:color w:val="000000"/>
          <w:u w:color="000000"/>
        </w:rPr>
        <w:t>h nieruchomości zostaną ustalone we właściwych protokołach.</w:t>
      </w:r>
    </w:p>
    <w:p w:rsidR="00A77B3E" w:rsidRDefault="0054164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54164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</w:t>
      </w:r>
      <w:r>
        <w:rPr>
          <w:color w:val="000000"/>
          <w:u w:color="000000"/>
        </w:rPr>
        <w:t>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54164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54164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41646" w:rsidRDefault="00541646">
      <w:pPr>
        <w:keepLines/>
        <w:spacing w:before="120" w:after="120"/>
        <w:rPr>
          <w:color w:val="000000"/>
          <w:u w:color="000000"/>
        </w:rPr>
        <w:sectPr w:rsidR="0054164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541646">
      <w:pPr>
        <w:spacing w:before="120"/>
        <w:ind w:left="1047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74/2022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9 marca 2022 r.</w:t>
      </w:r>
    </w:p>
    <w:p w:rsidR="00A77B3E" w:rsidRDefault="00541646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</w:t>
      </w:r>
      <w:r>
        <w:rPr>
          <w:b/>
          <w:color w:val="000000"/>
          <w:u w:color="000000"/>
        </w:rPr>
        <w:t>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102"/>
        <w:gridCol w:w="2327"/>
        <w:gridCol w:w="1021"/>
        <w:gridCol w:w="1066"/>
        <w:gridCol w:w="871"/>
        <w:gridCol w:w="3183"/>
        <w:gridCol w:w="1216"/>
        <w:gridCol w:w="2042"/>
        <w:gridCol w:w="360"/>
      </w:tblGrid>
      <w:tr w:rsidR="00D50426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50426" w:rsidRDefault="00541646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50426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50426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ul. Polna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EL1E/00032414/1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443/18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D50426" w:rsidRDefault="00541646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2.700 zł</w:t>
            </w:r>
          </w:p>
        </w:tc>
      </w:tr>
      <w:tr w:rsidR="00D50426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41646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50426" w:rsidRDefault="00541646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50426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0426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0426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41646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</w:t>
            </w:r>
            <w:r>
              <w:rPr>
                <w:sz w:val="18"/>
              </w:rPr>
              <w:t xml:space="preserve"> o gospodarce nieruchomościami nabywają nieruchomość za cenę określoną na podstawie art.67 ust.3 ustawy o gospodarce nieruchomościami. </w:t>
            </w:r>
          </w:p>
          <w:p w:rsidR="00D50426" w:rsidRDefault="00541646">
            <w:r>
              <w:rPr>
                <w:sz w:val="18"/>
              </w:rPr>
              <w:t>Pierwszeństwo w nabyciu nieruchomości określonych w powyższym wykazie dotyczy osób, którym przysługuje roszczenie o naby</w:t>
            </w:r>
            <w:r>
              <w:rPr>
                <w:sz w:val="18"/>
              </w:rPr>
              <w:t>cie nieruchomości z mocy ustawy o gospodarce nieruchomościami lub odrębnych przepisów, jeżeli złożą wniosek o nabycie przed upływem terminu określonego w wykazie: termin złożenia wniosku nie może być krótszy niż 6 tygodni, licząc od dnia wywieszenia wykazu</w:t>
            </w:r>
            <w:r>
              <w:rPr>
                <w:sz w:val="18"/>
              </w:rPr>
              <w:t>.</w:t>
            </w:r>
          </w:p>
        </w:tc>
      </w:tr>
      <w:tr w:rsidR="00D50426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0426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4164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41646"/>
    <w:rsid w:val="00A77B3E"/>
    <w:rsid w:val="00CA2A55"/>
    <w:rsid w:val="00D5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8DFB7B-0621-4FC7-928A-F4ACBB36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74/2022 z dnia 9 marca 2022 r.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2022-03-10T11:23:00Z</dcterms:created>
  <dcterms:modified xsi:type="dcterms:W3CDTF">2022-03-10T10:23:00Z</dcterms:modified>
  <cp:category>Akt prawny</cp:category>
</cp:coreProperties>
</file>