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344B5" w14:textId="11FA35A5" w:rsidR="00A77B3E" w:rsidRDefault="00397F0D">
      <w:pPr>
        <w:jc w:val="center"/>
        <w:rPr>
          <w:b/>
          <w:caps/>
        </w:rPr>
      </w:pPr>
      <w:r>
        <w:rPr>
          <w:b/>
          <w:caps/>
        </w:rPr>
        <w:t>Zarządzenie Nr 49/2022</w:t>
      </w:r>
      <w:r>
        <w:rPr>
          <w:b/>
          <w:caps/>
        </w:rPr>
        <w:br/>
        <w:t>Prezydenta Miasta Elbląg</w:t>
      </w:r>
    </w:p>
    <w:p w14:paraId="2CEF8C40" w14:textId="4395BD16" w:rsidR="00A77B3E" w:rsidRDefault="00397F0D">
      <w:pPr>
        <w:spacing w:before="280" w:after="280"/>
        <w:jc w:val="center"/>
        <w:rPr>
          <w:b/>
          <w:caps/>
        </w:rPr>
      </w:pPr>
      <w:r>
        <w:t>z dnia 28 lutego</w:t>
      </w:r>
      <w:r>
        <w:t> 2022 r.</w:t>
      </w:r>
    </w:p>
    <w:p w14:paraId="7CE44B70" w14:textId="77777777" w:rsidR="00A77B3E" w:rsidRDefault="00397F0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D2EFFDF" w14:textId="77777777" w:rsidR="00A77B3E" w:rsidRDefault="00397F0D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</w:t>
      </w:r>
      <w:r>
        <w:t>marca 1990 r. o samorządzie gminnym 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</w:t>
      </w:r>
      <w:r>
        <w:rPr>
          <w:color w:val="000000"/>
          <w:u w:color="000000"/>
        </w:rPr>
        <w:t>bląg oraz ich wydzierżawiania lub wynajmowania na czas oznaczony dłuższy niż trzy lata lub czas nieoznaczony, stanowiących załącznik do uchwały Nr XIV/265/2008 Rady Miejskiej w Elblągu z dnia 24 kwietnia 2008 r. w sprawie określenia zasad nabywania, zbywan</w:t>
      </w:r>
      <w:r>
        <w:rPr>
          <w:color w:val="000000"/>
          <w:u w:color="000000"/>
        </w:rPr>
        <w:t xml:space="preserve">ia i obciążania nieruchomości Gminy Miasto Elbląg oraz ich wydzierżawiania lub wynajmowania na czas oznaczony dłuższy niż trzy lata lub na czas nieoznaczony (Dz. Urz. Woj. Warmińsko – Mazurskiego z 2016r., poz. 3794), </w:t>
      </w:r>
    </w:p>
    <w:p w14:paraId="6F1AF556" w14:textId="77777777" w:rsidR="00A77B3E" w:rsidRDefault="00397F0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842D096" w14:textId="77777777" w:rsidR="00A77B3E" w:rsidRDefault="00397F0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3648FD82" w14:textId="77777777" w:rsidR="00A77B3E" w:rsidRDefault="00397F0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</w:t>
      </w:r>
      <w:r>
        <w:rPr>
          <w:color w:val="000000"/>
          <w:u w:color="000000"/>
        </w:rPr>
        <w:t>czegółowe warunki ustanowienia służebności zostaną określone w protokole z rokowań.</w:t>
      </w:r>
    </w:p>
    <w:p w14:paraId="2932372D" w14:textId="77777777" w:rsidR="00A77B3E" w:rsidRDefault="00397F0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067B6FC0" w14:textId="77777777" w:rsidR="00A77B3E" w:rsidRDefault="00397F0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97F0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BE748"/>
  <w15:docId w15:val="{2C12E9F0-B4B7-4C78-8070-479AB209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2022-03-01T14:37:00Z</dcterms:created>
  <dcterms:modified xsi:type="dcterms:W3CDTF">2022-03-01T14:37:00Z</dcterms:modified>
  <cp:category>Akt prawny</cp:category>
</cp:coreProperties>
</file>