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78680" w14:textId="00839456" w:rsidR="00A77B3E" w:rsidRDefault="00E53A24">
      <w:pPr>
        <w:jc w:val="center"/>
        <w:rPr>
          <w:b/>
          <w:caps/>
        </w:rPr>
      </w:pPr>
      <w:r>
        <w:rPr>
          <w:b/>
          <w:caps/>
        </w:rPr>
        <w:t>Zarządzenie Nr 446/2021</w:t>
      </w:r>
      <w:r>
        <w:rPr>
          <w:b/>
          <w:caps/>
        </w:rPr>
        <w:br/>
        <w:t>Prezydenta Miasta Elbląg</w:t>
      </w:r>
    </w:p>
    <w:p w14:paraId="46CFD270" w14:textId="0BED613B" w:rsidR="00A77B3E" w:rsidRDefault="00E53A24">
      <w:pPr>
        <w:spacing w:before="280" w:after="280"/>
        <w:jc w:val="center"/>
        <w:rPr>
          <w:b/>
          <w:caps/>
        </w:rPr>
      </w:pPr>
      <w:r>
        <w:t>z dnia 28 października</w:t>
      </w:r>
      <w:r>
        <w:t> 2021 r.</w:t>
      </w:r>
    </w:p>
    <w:p w14:paraId="2DC8E8C8" w14:textId="77777777" w:rsidR="00A77B3E" w:rsidRDefault="00E53A24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14:paraId="0F970F2F" w14:textId="77777777" w:rsidR="00A77B3E" w:rsidRDefault="00E53A24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(Dz.U. z 2020 r. poz. 1990 ze zm.),</w:t>
      </w:r>
    </w:p>
    <w:p w14:paraId="312E3F57" w14:textId="77777777" w:rsidR="00A77B3E" w:rsidRDefault="00E53A2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5640A819" w14:textId="77777777" w:rsidR="00A77B3E" w:rsidRDefault="00E53A2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</w:t>
      </w:r>
      <w:r>
        <w:t>niejszego Zarządzenia.</w:t>
      </w:r>
    </w:p>
    <w:p w14:paraId="097DA977" w14:textId="77777777" w:rsidR="00A77B3E" w:rsidRDefault="00E53A2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właściwym protokole.</w:t>
      </w:r>
    </w:p>
    <w:p w14:paraId="34DB00AA" w14:textId="77777777" w:rsidR="00A77B3E" w:rsidRDefault="00E53A2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14:paraId="50B549B5" w14:textId="77777777" w:rsidR="00A77B3E" w:rsidRDefault="00E53A2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</w:t>
      </w:r>
      <w:r>
        <w:rPr>
          <w:color w:val="000000"/>
          <w:u w:color="000000"/>
        </w:rPr>
        <w:t>uchomości, o którym mowa w ust. 1, podlega ogłoszeniu poprzez wywieszenie na tablicy ogłoszeń w siedzibie Urzędu Miejskiego w Elblągu na okres 21 dni, a ponadto informacja o jego wywieszeniu podana zostanie do wiadomości publicznej poprzez ogłoszenie w pra</w:t>
      </w:r>
      <w:r>
        <w:rPr>
          <w:color w:val="000000"/>
          <w:u w:color="000000"/>
        </w:rPr>
        <w:t>sie lokalnej.</w:t>
      </w:r>
    </w:p>
    <w:p w14:paraId="55D97753" w14:textId="77777777" w:rsidR="00A77B3E" w:rsidRDefault="00E53A2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245CE636" w14:textId="77777777" w:rsidR="00A77B3E" w:rsidRDefault="00E53A2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12C38B70" w14:textId="2CB7DB18" w:rsidR="00E53A24" w:rsidRDefault="00E53A24">
      <w:pPr>
        <w:keepLines/>
        <w:spacing w:before="120" w:after="120"/>
        <w:rPr>
          <w:color w:val="000000"/>
          <w:u w:color="000000"/>
        </w:rPr>
        <w:sectPr w:rsidR="00E53A2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72C90AD2" w14:textId="77777777" w:rsidR="00A77B3E" w:rsidRDefault="00E53A24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>
        <w:rPr>
          <w:color w:val="000000"/>
          <w:u w:color="000000"/>
        </w:rPr>
        <w:t>........................................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dnia........................................2021 r.</w:t>
      </w:r>
    </w:p>
    <w:p w14:paraId="25B110E7" w14:textId="77777777" w:rsidR="00A77B3E" w:rsidRDefault="00E53A2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052"/>
        <w:gridCol w:w="2006"/>
        <w:gridCol w:w="916"/>
        <w:gridCol w:w="1092"/>
        <w:gridCol w:w="1092"/>
        <w:gridCol w:w="3879"/>
        <w:gridCol w:w="1128"/>
        <w:gridCol w:w="1818"/>
      </w:tblGrid>
      <w:tr w:rsidR="00243A67" w14:paraId="25318478" w14:textId="77777777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3614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4DAB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7FFF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4289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6700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</w:t>
            </w:r>
            <w:r>
              <w:rPr>
                <w:b/>
                <w:color w:val="000000"/>
                <w:u w:color="000000"/>
              </w:rPr>
              <w:t>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2DB0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14:paraId="78E285BC" w14:textId="77777777" w:rsidR="00243A67" w:rsidRDefault="00E53A24">
            <w:pPr>
              <w:jc w:val="center"/>
            </w:pPr>
            <w:r>
              <w:rPr>
                <w:b/>
              </w:rPr>
              <w:t>nieruchomości</w:t>
            </w:r>
          </w:p>
        </w:tc>
      </w:tr>
      <w:tr w:rsidR="00243A67" w14:paraId="5E1D5DA5" w14:textId="7777777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BD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0E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D21B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4142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4696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B883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4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79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B3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44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43A67" w14:paraId="416C132A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5D28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95B0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1F5C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DC86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6C654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44CF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66D4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C49B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563C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243A67" w14:paraId="214C41DC" w14:textId="77777777">
        <w:trPr>
          <w:trHeight w:val="7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0427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43A77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t>Konstantego Ildefonsa Gałczyńskiego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A918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t>EL1E/00032290/5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CA98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t>624/3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10FF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t>0,0013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D025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D62F" w14:textId="77777777" w:rsidR="00A77B3E" w:rsidRDefault="00E53A24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Leży na obszarze, na którym nie ma obowiązującego miejscowego planu </w:t>
            </w:r>
            <w:r>
              <w:rPr>
                <w:sz w:val="20"/>
              </w:rPr>
              <w:t xml:space="preserve">zagospodarowania przestrzennego. Nieruchomość, zbywana w trybie art. 37 ust.2 pkt 4)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w drodze zamiany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B27F" w14:textId="77777777" w:rsidR="00A77B3E" w:rsidRDefault="00E53A24">
            <w:pPr>
              <w:jc w:val="left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A1C8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t xml:space="preserve">2.049 </w:t>
            </w:r>
          </w:p>
        </w:tc>
      </w:tr>
      <w:tr w:rsidR="00243A67" w14:paraId="6ED8FFBD" w14:textId="77777777">
        <w:trPr>
          <w:trHeight w:val="70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64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72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FC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31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40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5F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F3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8C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EEE8" w14:textId="77777777" w:rsidR="00A77B3E" w:rsidRDefault="00E53A2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plus podatek VAT zgodnie z obowiązującymi przepisami</w:t>
            </w:r>
          </w:p>
        </w:tc>
      </w:tr>
      <w:tr w:rsidR="00243A67" w14:paraId="20A060CC" w14:textId="77777777">
        <w:tc>
          <w:tcPr>
            <w:tcW w:w="15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DE1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570BA1B" w14:textId="77777777" w:rsidR="00243A67" w:rsidRDefault="00E53A24">
            <w:pPr>
              <w:jc w:val="left"/>
            </w:pPr>
            <w:r>
              <w:rPr>
                <w:sz w:val="20"/>
              </w:rPr>
              <w:t xml:space="preserve">* Osoby, o których mowa w art.34 ust.1 ustawy </w:t>
            </w:r>
            <w:r>
              <w:rPr>
                <w:sz w:val="20"/>
              </w:rPr>
              <w:t>o gospodarce nieruchomościami nabywają nieruchomość za cenę określoną na podstawie art.67 ust.3 ustawy o gospodarce nieruchomościami. Pierwszeństwo w nabyciu nieruchomości określonych w powyższym wykazie dotyczy osób, którym przysługuje roszczenie o nabyci</w:t>
            </w:r>
            <w:r>
              <w:rPr>
                <w:sz w:val="20"/>
              </w:rPr>
              <w:t>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243A67" w14:paraId="4EAFB3FF" w14:textId="77777777">
        <w:tc>
          <w:tcPr>
            <w:tcW w:w="154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346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D1DE390" w14:textId="77777777" w:rsidR="00243A67" w:rsidRDefault="00E53A24">
            <w:pPr>
              <w:jc w:val="left"/>
            </w:pPr>
            <w:r>
              <w:rPr>
                <w:i/>
              </w:rPr>
              <w:t xml:space="preserve">Sporządziła: Małgorzata </w:t>
            </w:r>
            <w:proofErr w:type="spellStart"/>
            <w:r>
              <w:rPr>
                <w:i/>
              </w:rPr>
              <w:t>Gregorowicz</w:t>
            </w:r>
            <w:proofErr w:type="spellEnd"/>
            <w:r>
              <w:rPr>
                <w:i/>
              </w:rPr>
              <w:t>, Starszy Inspektor</w:t>
            </w:r>
          </w:p>
        </w:tc>
      </w:tr>
    </w:tbl>
    <w:p w14:paraId="45992FAD" w14:textId="77777777"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3A67"/>
    <w:rsid w:val="00A77B3E"/>
    <w:rsid w:val="00CA2A55"/>
    <w:rsid w:val="00E5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3AA85A"/>
  <w15:docId w15:val="{784C4CCE-5209-4FC0-8955-90895D5E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2130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magre</dc:creator>
  <cp:lastModifiedBy>Joanna Danilewicz</cp:lastModifiedBy>
  <cp:revision>2</cp:revision>
  <dcterms:created xsi:type="dcterms:W3CDTF">2021-11-02T08:14:00Z</dcterms:created>
  <dcterms:modified xsi:type="dcterms:W3CDTF">2021-11-02T08:14:00Z</dcterms:modified>
  <cp:category>Akt prawny</cp:category>
</cp:coreProperties>
</file>