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200B5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D8088C">
        <w:rPr>
          <w:b/>
          <w:caps/>
        </w:rPr>
        <w:t>373</w:t>
      </w:r>
      <w:r>
        <w:rPr>
          <w:b/>
          <w:caps/>
        </w:rPr>
        <w:t>.</w:t>
      </w:r>
      <w:r>
        <w:rPr>
          <w:b/>
          <w:caps/>
        </w:rPr>
        <w:br/>
        <w:t>Prezydenta Miasta Elbląg</w:t>
      </w:r>
    </w:p>
    <w:p w:rsidR="00A77B3E" w:rsidRDefault="007200B5">
      <w:pPr>
        <w:spacing w:before="280" w:after="280"/>
        <w:jc w:val="center"/>
        <w:rPr>
          <w:b/>
          <w:caps/>
        </w:rPr>
      </w:pPr>
      <w:r>
        <w:t xml:space="preserve">z dnia </w:t>
      </w:r>
      <w:r w:rsidR="00D8088C">
        <w:t xml:space="preserve">25 sierpnia </w:t>
      </w:r>
      <w:r>
        <w:t>2021 r.</w:t>
      </w:r>
    </w:p>
    <w:p w:rsidR="00A77B3E" w:rsidRDefault="007200B5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sprzedaży na rzecz użytkowników wieczystych</w:t>
      </w:r>
    </w:p>
    <w:p w:rsidR="00A77B3E" w:rsidRDefault="007200B5">
      <w:pPr>
        <w:keepLines/>
        <w:spacing w:before="120" w:after="120"/>
      </w:pPr>
      <w:r>
        <w:t>Na podstawie art. 35 ust. 1 i 2 ustawy z dnia 21 sierpnia 1997 r. o gospodarce nieruchomościami (t.j. Dz.U. z 2020 r. poz. 1990 ze zm.)</w:t>
      </w:r>
    </w:p>
    <w:p w:rsidR="00A77B3E" w:rsidRDefault="007200B5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200B5" w:rsidP="00AB626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Przeznacza się do sprzedaży na rzecz użytkowników wieczystych nieruchomości gruntowe szczegółowo opisane w załączniku do niniejszego zarządzenia.</w:t>
      </w:r>
    </w:p>
    <w:p w:rsidR="00A77B3E" w:rsidRDefault="007200B5" w:rsidP="00AB626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zbycia poszczególnych nieruchomości zostaną ustalone we właściwych protokołach.</w:t>
      </w:r>
    </w:p>
    <w:p w:rsidR="00A77B3E" w:rsidRDefault="007200B5" w:rsidP="00AB626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7200B5" w:rsidP="00AB6261">
      <w:pPr>
        <w:keepLines/>
        <w:spacing w:before="120" w:after="120"/>
        <w:jc w:val="left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7200B5">
      <w:pPr>
        <w:keepNext/>
        <w:spacing w:before="120"/>
        <w:ind w:left="100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do zarządzenia Nr </w:t>
      </w:r>
      <w:r w:rsidR="00D8088C">
        <w:rPr>
          <w:color w:val="000000"/>
          <w:u w:color="000000"/>
        </w:rPr>
        <w:t>373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>z dnia</w:t>
      </w:r>
      <w:r w:rsidR="00D8088C">
        <w:rPr>
          <w:color w:val="000000"/>
          <w:u w:color="000000"/>
        </w:rPr>
        <w:t xml:space="preserve">25 sierpnia </w:t>
      </w:r>
      <w:bookmarkStart w:id="0" w:name="_GoBack"/>
      <w:bookmarkEnd w:id="0"/>
      <w:r>
        <w:rPr>
          <w:color w:val="000000"/>
          <w:u w:color="000000"/>
        </w:rPr>
        <w:t>2021 r.</w:t>
      </w:r>
    </w:p>
    <w:p w:rsidR="00A77B3E" w:rsidRDefault="007200B5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"/>
        <w:gridCol w:w="1730"/>
        <w:gridCol w:w="1110"/>
        <w:gridCol w:w="830"/>
        <w:gridCol w:w="948"/>
        <w:gridCol w:w="1081"/>
        <w:gridCol w:w="2925"/>
        <w:gridCol w:w="1110"/>
        <w:gridCol w:w="2025"/>
        <w:gridCol w:w="2320"/>
      </w:tblGrid>
      <w:tr w:rsidR="008506BF">
        <w:tc>
          <w:tcPr>
            <w:tcW w:w="14775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506BF">
        <w:trPr>
          <w:trHeight w:val="33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proofErr w:type="spellStart"/>
            <w:r>
              <w:rPr>
                <w:b/>
              </w:rPr>
              <w:t>Lp</w:t>
            </w:r>
            <w:proofErr w:type="spellEnd"/>
          </w:p>
        </w:tc>
        <w:tc>
          <w:tcPr>
            <w:tcW w:w="17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4020" w:type="dxa"/>
            <w:gridSpan w:val="4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9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Tryb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8506BF"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970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506BF">
        <w:tc>
          <w:tcPr>
            <w:tcW w:w="4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4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96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970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</w:t>
            </w:r>
          </w:p>
        </w:tc>
      </w:tr>
      <w:tr w:rsidR="008506BF">
        <w:trPr>
          <w:trHeight w:val="870"/>
        </w:trPr>
        <w:tc>
          <w:tcPr>
            <w:tcW w:w="4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7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t xml:space="preserve"> Świętego Ducha 20 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t>41392/6</w:t>
            </w:r>
          </w:p>
        </w:tc>
        <w:tc>
          <w:tcPr>
            <w:tcW w:w="84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t>192/1</w:t>
            </w:r>
          </w:p>
          <w:p w:rsidR="008506BF" w:rsidRDefault="007200B5">
            <w:pPr>
              <w:jc w:val="center"/>
            </w:pPr>
            <w:r>
              <w:t>200/1</w:t>
            </w:r>
          </w:p>
        </w:tc>
        <w:tc>
          <w:tcPr>
            <w:tcW w:w="96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t>0,0002</w:t>
            </w:r>
          </w:p>
          <w:p w:rsidR="008506BF" w:rsidRDefault="007200B5">
            <w:pPr>
              <w:jc w:val="center"/>
            </w:pPr>
            <w:r>
              <w:t>0,0135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297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t xml:space="preserve">Działki stanowiące własność Skarbu Państwa, zabudowane budynkiem mieszkalnym o 8 lok. mieszkalnych i 1 lok. usługowym stanowiącym odrębny od gruntu przedmiot własności.  </w:t>
            </w:r>
          </w:p>
          <w:p w:rsidR="008506BF" w:rsidRDefault="007200B5">
            <w:pPr>
              <w:jc w:val="center"/>
            </w:pPr>
            <w:r>
              <w:t xml:space="preserve">W MPZP  teren przeznaczony na cele zabudowy usługowo - mieszkaniowej.       </w:t>
            </w:r>
          </w:p>
        </w:tc>
        <w:tc>
          <w:tcPr>
            <w:tcW w:w="112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t>Bezprzetargowo,</w:t>
            </w:r>
          </w:p>
          <w:p w:rsidR="008506BF" w:rsidRDefault="007200B5"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14.602,00 zł</w:t>
            </w:r>
          </w:p>
        </w:tc>
      </w:tr>
      <w:tr w:rsidR="008506BF">
        <w:trPr>
          <w:trHeight w:val="915"/>
        </w:trPr>
        <w:tc>
          <w:tcPr>
            <w:tcW w:w="4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6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7200B5">
            <w:pPr>
              <w:jc w:val="center"/>
              <w:rPr>
                <w:color w:val="000000"/>
                <w:u w:color="000000"/>
              </w:rPr>
            </w:pPr>
            <w:r>
              <w:rPr>
                <w:sz w:val="18"/>
              </w:rPr>
              <w:t>sprzedaż nieruchomości nie podlega opodatkowaniu podatkiem VAT, ponieważ nie stanowi ona dostawy towarów w myśl art. 7 ust. 1 pkt 6 i 7 ustawy z dnia 11.03.2004 r.                             o podatku od towarów i usług</w:t>
            </w:r>
          </w:p>
        </w:tc>
      </w:tr>
      <w:tr w:rsidR="008506BF"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506BF"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200B5">
            <w:pPr>
              <w:jc w:val="left"/>
              <w:rPr>
                <w:color w:val="000000"/>
                <w:u w:color="000000"/>
              </w:rPr>
            </w:pPr>
            <w:r>
              <w:rPr>
                <w:sz w:val="18"/>
              </w:rPr>
              <w:t>* Osoby, o których mowa w art.34 ust.1 ustawy o gospodarce nieruchomościami nabywają nieruchomość za cenę określoną na podstawie art.67 ust.3 ustawy o gospodarce nieruchomościami.</w:t>
            </w:r>
          </w:p>
        </w:tc>
      </w:tr>
      <w:tr w:rsidR="008506BF"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7200B5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20"/>
              </w:rPr>
              <w:t>Sporządził: Piotr Sosnowski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7200B5"/>
    <w:rsid w:val="008506BF"/>
    <w:rsid w:val="00A77B3E"/>
    <w:rsid w:val="00AB6261"/>
    <w:rsid w:val="00CA2A55"/>
    <w:rsid w:val="00D80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5:docId w15:val="{B1EBFF1A-74E9-4D33-8B86-303B6E84F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274</Words>
  <Characters>1645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
przeznaczonych do sprzedaży na^rzecz^użytkowników wieczystych</dc:subject>
  <dc:creator>pisos</dc:creator>
  <cp:lastModifiedBy>Piotr Sosnowski</cp:lastModifiedBy>
  <cp:revision>4</cp:revision>
  <dcterms:created xsi:type="dcterms:W3CDTF">2021-08-23T12:37:00Z</dcterms:created>
  <dcterms:modified xsi:type="dcterms:W3CDTF">2021-08-25T12:32:00Z</dcterms:modified>
  <cp:category>Akt prawny</cp:category>
</cp:coreProperties>
</file>