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59E5" w:rsidRPr="006F59E5" w:rsidRDefault="006F59E5" w:rsidP="006F59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>
        <w:rPr>
          <w:rFonts w:ascii="Times New Roman" w:eastAsia="Times New Roman" w:hAnsi="Times New Roman" w:cs="Times New Roman"/>
          <w:b/>
          <w:bCs/>
          <w:caps/>
          <w:lang w:eastAsia="pl-PL"/>
        </w:rPr>
        <w:t>Zarządzenie Nr 57/2021</w:t>
      </w:r>
      <w:r w:rsidRPr="006F59E5">
        <w:rPr>
          <w:rFonts w:ascii="Times New Roman" w:eastAsia="Times New Roman" w:hAnsi="Times New Roman" w:cs="Times New Roman"/>
          <w:b/>
          <w:bCs/>
          <w:caps/>
          <w:lang w:eastAsia="pl-PL"/>
        </w:rPr>
        <w:t xml:space="preserve"> </w:t>
      </w:r>
      <w:r w:rsidRPr="006F59E5">
        <w:rPr>
          <w:rFonts w:ascii="Times New Roman" w:eastAsia="Times New Roman" w:hAnsi="Times New Roman" w:cs="Times New Roman"/>
          <w:b/>
          <w:bCs/>
          <w:caps/>
          <w:lang w:eastAsia="pl-PL"/>
        </w:rPr>
        <w:br/>
        <w:t>Prezydenta Miasta Elbląg</w:t>
      </w:r>
    </w:p>
    <w:p w:rsidR="006F59E5" w:rsidRPr="006F59E5" w:rsidRDefault="006F59E5" w:rsidP="006F59E5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lang w:eastAsia="pl-PL"/>
        </w:rPr>
      </w:pPr>
      <w:r w:rsidRPr="006F59E5">
        <w:rPr>
          <w:rFonts w:ascii="Times New Roman" w:eastAsia="Times New Roman" w:hAnsi="Times New Roman" w:cs="Times New Roman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lang w:eastAsia="pl-PL"/>
        </w:rPr>
        <w:t xml:space="preserve">19 lutego </w:t>
      </w:r>
      <w:r w:rsidRPr="006F59E5">
        <w:rPr>
          <w:rFonts w:ascii="Times New Roman" w:eastAsia="Times New Roman" w:hAnsi="Times New Roman" w:cs="Times New Roman"/>
          <w:lang w:eastAsia="pl-PL"/>
        </w:rPr>
        <w:t>2021 r.</w:t>
      </w:r>
    </w:p>
    <w:p w:rsidR="006F59E5" w:rsidRPr="006F59E5" w:rsidRDefault="006F59E5" w:rsidP="006F59E5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6F59E5">
        <w:rPr>
          <w:rFonts w:ascii="Times New Roman" w:eastAsia="Times New Roman" w:hAnsi="Times New Roman" w:cs="Times New Roman"/>
          <w:b/>
          <w:bCs/>
          <w:lang w:eastAsia="pl-PL"/>
        </w:rPr>
        <w:t>zmieniające zarządzenie w sprawie ustalenia zasad postępowania w przypadku przejmowania i zagospodarowania przez Gminę Miasto Elbląg nabytych spadków</w:t>
      </w:r>
    </w:p>
    <w:p w:rsidR="006F59E5" w:rsidRPr="006F59E5" w:rsidRDefault="006F59E5" w:rsidP="006F59E5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6F59E5">
        <w:rPr>
          <w:rFonts w:ascii="Times New Roman" w:eastAsia="Times New Roman" w:hAnsi="Times New Roman" w:cs="Times New Roman"/>
          <w:lang w:eastAsia="pl-PL"/>
        </w:rPr>
        <w:t>Na podstawie art. 30 ust. 1 i 2 pkt 3 ustawy z dnia 8 marca 1990 r. o samorządzie gminnym (Dz. U. z 2020 r. poz. 713 ze zm.) w związku z art. 935, art. 1023 ustawy z dnia 23 kwietnia 1964 r. Kodeks cywilny  (Dz. U. z 2020, poz. 1740 ze zm.), z art. 111 c ustawy z dnia 29 sierpnia 1997 r. Prawo bankowe (Dz. U. z 2020 r., poz. 1896 ze. zm.) oraz § 49 ust. 1 Regulaminu Organizacyjnego Urzędu Miejskiego w Elblągu (tekst jednolity: Zarządzenie Nr 233/2020 Prezydenta Miasta Elbląg z dnia 1 lipca 2020 r. ze zm.) zarządza się, co następuje:</w:t>
      </w:r>
    </w:p>
    <w:p w:rsidR="006F59E5" w:rsidRPr="006F59E5" w:rsidRDefault="006F59E5" w:rsidP="006F59E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59E5">
        <w:rPr>
          <w:rFonts w:ascii="Times New Roman" w:eastAsia="Times New Roman" w:hAnsi="Times New Roman" w:cs="Times New Roman"/>
          <w:b/>
          <w:bCs/>
          <w:lang w:eastAsia="pl-PL"/>
        </w:rPr>
        <w:t>§ 1. </w:t>
      </w:r>
      <w:r w:rsidRPr="006F59E5">
        <w:rPr>
          <w:rFonts w:ascii="Times New Roman" w:eastAsia="Times New Roman" w:hAnsi="Times New Roman" w:cs="Times New Roman"/>
          <w:lang w:eastAsia="pl-PL"/>
        </w:rPr>
        <w:t>W zarządzeniu Nr 404/2019 z dnia 22 sierpnia 2019 r. w sprawie ustalenia zasad postępowania w przypadku przejmowania i zagospodarowania przez Gminę Miasto Elbląg nabytych spadków ze zm. w </w:t>
      </w:r>
      <w:r w:rsidRPr="006F59E5">
        <w:rPr>
          <w:rFonts w:ascii="Times New Roman" w:eastAsia="Times New Roman" w:hAnsi="Times New Roman" w:cs="Times New Roman"/>
          <w:b/>
          <w:bCs/>
          <w:color w:val="000000"/>
          <w:u w:color="000000"/>
          <w:lang w:eastAsia="pl-PL"/>
        </w:rPr>
        <w:t>§ 10 ust. 3 </w:t>
      </w:r>
      <w:r w:rsidRPr="006F59E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pkt. 2) otrzymuje brzmienie:</w:t>
      </w:r>
    </w:p>
    <w:p w:rsidR="006F59E5" w:rsidRPr="006F59E5" w:rsidRDefault="006F59E5" w:rsidP="006F59E5">
      <w:pPr>
        <w:autoSpaceDE w:val="0"/>
        <w:autoSpaceDN w:val="0"/>
        <w:adjustRightInd w:val="0"/>
        <w:spacing w:before="120" w:after="120" w:line="240" w:lineRule="auto"/>
        <w:ind w:left="1020" w:hanging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59E5">
        <w:rPr>
          <w:rFonts w:ascii="Times New Roman" w:eastAsia="Times New Roman" w:hAnsi="Times New Roman" w:cs="Times New Roman"/>
          <w:lang w:eastAsia="pl-PL"/>
        </w:rPr>
        <w:t>„2) </w:t>
      </w:r>
      <w:r w:rsidRPr="006F59E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Procedura zostaje zakończona, gdy zajdzie co najmniej jedna z następujących przesłanek:</w:t>
      </w:r>
    </w:p>
    <w:p w:rsidR="006F59E5" w:rsidRPr="006F59E5" w:rsidRDefault="006F59E5" w:rsidP="006F59E5">
      <w:pPr>
        <w:keepLines/>
        <w:autoSpaceDE w:val="0"/>
        <w:autoSpaceDN w:val="0"/>
        <w:adjustRightInd w:val="0"/>
        <w:spacing w:before="120" w:after="120" w:line="240" w:lineRule="auto"/>
        <w:ind w:left="124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59E5">
        <w:rPr>
          <w:rFonts w:ascii="Times New Roman" w:eastAsia="Times New Roman" w:hAnsi="Times New Roman" w:cs="Times New Roman"/>
          <w:lang w:eastAsia="pl-PL"/>
        </w:rPr>
        <w:t>a) </w:t>
      </w:r>
      <w:r w:rsidRPr="006F59E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bank nie przekaże danych pozwalających na identyfikację zmarłego posiadacza rachunku bankowego,</w:t>
      </w:r>
    </w:p>
    <w:p w:rsidR="006F59E5" w:rsidRPr="006F59E5" w:rsidRDefault="006F59E5" w:rsidP="006F59E5">
      <w:pPr>
        <w:keepLines/>
        <w:autoSpaceDE w:val="0"/>
        <w:autoSpaceDN w:val="0"/>
        <w:adjustRightInd w:val="0"/>
        <w:spacing w:before="120" w:after="120" w:line="240" w:lineRule="auto"/>
        <w:ind w:left="124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59E5">
        <w:rPr>
          <w:rFonts w:ascii="Times New Roman" w:eastAsia="Times New Roman" w:hAnsi="Times New Roman" w:cs="Times New Roman"/>
          <w:lang w:eastAsia="pl-PL"/>
        </w:rPr>
        <w:t>b) </w:t>
      </w:r>
      <w:r w:rsidRPr="006F59E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Gmina nie była ostatnim miejscem zamieszkania zmarłego posiadacza rachunku bankowego,</w:t>
      </w:r>
    </w:p>
    <w:p w:rsidR="006F59E5" w:rsidRPr="006F59E5" w:rsidRDefault="006F59E5" w:rsidP="006F59E5">
      <w:pPr>
        <w:keepLines/>
        <w:autoSpaceDE w:val="0"/>
        <w:autoSpaceDN w:val="0"/>
        <w:adjustRightInd w:val="0"/>
        <w:spacing w:before="120" w:after="120" w:line="240" w:lineRule="auto"/>
        <w:ind w:left="124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59E5">
        <w:rPr>
          <w:rFonts w:ascii="Times New Roman" w:eastAsia="Times New Roman" w:hAnsi="Times New Roman" w:cs="Times New Roman"/>
          <w:lang w:eastAsia="pl-PL"/>
        </w:rPr>
        <w:t>c) </w:t>
      </w:r>
      <w:r w:rsidRPr="006F59E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środki zgromadzone na rachunku bankowym zmarłego są niższe niż kwota wymieniona w § 10 ust. 3,</w:t>
      </w:r>
    </w:p>
    <w:p w:rsidR="006F59E5" w:rsidRPr="006F59E5" w:rsidRDefault="006F59E5" w:rsidP="006F59E5">
      <w:pPr>
        <w:keepLines/>
        <w:autoSpaceDE w:val="0"/>
        <w:autoSpaceDN w:val="0"/>
        <w:adjustRightInd w:val="0"/>
        <w:spacing w:before="120" w:after="120" w:line="240" w:lineRule="auto"/>
        <w:ind w:left="124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59E5">
        <w:rPr>
          <w:rFonts w:ascii="Times New Roman" w:eastAsia="Times New Roman" w:hAnsi="Times New Roman" w:cs="Times New Roman"/>
          <w:lang w:eastAsia="pl-PL"/>
        </w:rPr>
        <w:t>d) </w:t>
      </w:r>
      <w:r w:rsidRPr="006F59E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zmarły posiadacz rachunku bankowego ma spadkobierców uprawnionych do dziedziczenia przed Gminą,</w:t>
      </w:r>
    </w:p>
    <w:p w:rsidR="006F59E5" w:rsidRPr="006F59E5" w:rsidRDefault="006F59E5" w:rsidP="006F59E5">
      <w:pPr>
        <w:keepLines/>
        <w:autoSpaceDE w:val="0"/>
        <w:autoSpaceDN w:val="0"/>
        <w:adjustRightInd w:val="0"/>
        <w:spacing w:before="120" w:after="120" w:line="240" w:lineRule="auto"/>
        <w:ind w:left="124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59E5">
        <w:rPr>
          <w:rFonts w:ascii="Times New Roman" w:eastAsia="Times New Roman" w:hAnsi="Times New Roman" w:cs="Times New Roman"/>
          <w:lang w:eastAsia="pl-PL"/>
        </w:rPr>
        <w:t>e) </w:t>
      </w:r>
      <w:r w:rsidRPr="006F59E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osoby uprawnione do dziedziczenia przed Gminą przekazały informację o podjęciu działań mających na celu nabycie spadku po zmarłym posiadaczu rachunku bankowego,</w:t>
      </w:r>
    </w:p>
    <w:p w:rsidR="006F59E5" w:rsidRPr="006F59E5" w:rsidRDefault="006F59E5" w:rsidP="006F59E5">
      <w:pPr>
        <w:keepLines/>
        <w:autoSpaceDE w:val="0"/>
        <w:autoSpaceDN w:val="0"/>
        <w:adjustRightInd w:val="0"/>
        <w:spacing w:before="120" w:after="120" w:line="240" w:lineRule="auto"/>
        <w:ind w:left="1247" w:hanging="227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59E5">
        <w:rPr>
          <w:rFonts w:ascii="Times New Roman" w:eastAsia="Times New Roman" w:hAnsi="Times New Roman" w:cs="Times New Roman"/>
          <w:lang w:eastAsia="pl-PL"/>
        </w:rPr>
        <w:t>f) </w:t>
      </w:r>
      <w:r w:rsidRPr="006F59E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koszty postępowania spadkowego w trakcie jego trwania przekraczają kwotę wymienioną</w:t>
      </w:r>
      <w:r w:rsidRPr="006F59E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br/>
        <w:t>w § 10 ust. 3.</w:t>
      </w:r>
      <w:r w:rsidRPr="006F59E5">
        <w:rPr>
          <w:rFonts w:ascii="Times New Roman" w:eastAsia="Times New Roman" w:hAnsi="Times New Roman" w:cs="Times New Roman"/>
          <w:lang w:eastAsia="pl-PL"/>
        </w:rPr>
        <w:t>”</w:t>
      </w:r>
    </w:p>
    <w:p w:rsidR="006F59E5" w:rsidRPr="006F59E5" w:rsidRDefault="006F59E5" w:rsidP="006F59E5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6F59E5">
        <w:rPr>
          <w:rFonts w:ascii="Times New Roman" w:eastAsia="Times New Roman" w:hAnsi="Times New Roman" w:cs="Times New Roman"/>
          <w:b/>
          <w:bCs/>
          <w:lang w:eastAsia="pl-PL"/>
        </w:rPr>
        <w:t>§ 2. </w:t>
      </w:r>
      <w:r w:rsidRPr="006F59E5">
        <w:rPr>
          <w:rFonts w:ascii="Times New Roman" w:eastAsia="Times New Roman" w:hAnsi="Times New Roman" w:cs="Times New Roman"/>
          <w:color w:val="000000"/>
          <w:u w:color="000000"/>
          <w:lang w:eastAsia="pl-PL"/>
        </w:rPr>
        <w:t>Zarządzenie wchodzi w życie z dniem podpisania.</w:t>
      </w:r>
    </w:p>
    <w:p w:rsidR="001863B7" w:rsidRDefault="001863B7"/>
    <w:p w:rsidR="006F59E5" w:rsidRDefault="006F59E5"/>
    <w:p w:rsidR="006F59E5" w:rsidRDefault="006F59E5"/>
    <w:p w:rsidR="006F59E5" w:rsidRDefault="006F59E5"/>
    <w:p w:rsidR="006F59E5" w:rsidRDefault="006F59E5"/>
    <w:p w:rsidR="006F59E5" w:rsidRDefault="006F59E5"/>
    <w:p w:rsidR="006F59E5" w:rsidRDefault="006F59E5"/>
    <w:p w:rsidR="006F59E5" w:rsidRDefault="006F59E5"/>
    <w:p w:rsidR="006F59E5" w:rsidRDefault="006F59E5"/>
    <w:p w:rsidR="006F59E5" w:rsidRDefault="006F59E5"/>
    <w:p w:rsidR="006F59E5" w:rsidRDefault="006F59E5"/>
    <w:p w:rsidR="006F59E5" w:rsidRDefault="006F59E5"/>
    <w:p w:rsidR="006F59E5" w:rsidRPr="006F59E5" w:rsidRDefault="006F59E5" w:rsidP="006F59E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 w:rsidRPr="006F59E5">
        <w:rPr>
          <w:rFonts w:ascii="Times New Roman" w:eastAsia="Times New Roman" w:hAnsi="Times New Roman" w:cs="Times New Roman"/>
          <w:b/>
          <w:bCs/>
          <w:lang w:eastAsia="pl-PL"/>
        </w:rPr>
        <w:lastRenderedPageBreak/>
        <w:t>Uzasadnienie</w:t>
      </w:r>
    </w:p>
    <w:p w:rsidR="006F59E5" w:rsidRPr="006F59E5" w:rsidRDefault="006F59E5" w:rsidP="006F59E5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6F59E5">
        <w:rPr>
          <w:rFonts w:ascii="Times New Roman" w:eastAsia="Times New Roman" w:hAnsi="Times New Roman" w:cs="Times New Roman"/>
          <w:lang w:eastAsia="pl-PL"/>
        </w:rPr>
        <w:t>Zarządzenie wprowadza zmiany w zakończeniu postępowania spadkowego w trakcie jego trwania.</w:t>
      </w:r>
    </w:p>
    <w:p w:rsidR="006F59E5" w:rsidRPr="006F59E5" w:rsidRDefault="006F59E5" w:rsidP="006F59E5">
      <w:pPr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lang w:eastAsia="pl-PL"/>
        </w:rPr>
      </w:pPr>
      <w:r w:rsidRPr="006F59E5">
        <w:rPr>
          <w:rFonts w:ascii="Times New Roman" w:eastAsia="Times New Roman" w:hAnsi="Times New Roman" w:cs="Times New Roman"/>
          <w:lang w:eastAsia="pl-PL"/>
        </w:rPr>
        <w:t>Zgodnie z obowiązującym zarządzeniem procedurę wszczyna się, gdy środki zdeponowane na rachunku bankowym zmarłego są wyższe niż przewidywane koszty postępowania spadkowego, czyli 1 000,00 zł. Na etapie składania wniosku do Sądu trudne jest doszacowanie poniesionych przez Gminę Miasto Elbląg  kosztów postępowania spadkowego, dlatego zasadnym jest wprowadzenie zmiany polegającej na zakończeniu postępowania w trakcie jego trwania w przypadku, gdy koszty przekraczają kwotę 1 000,00 zł.</w:t>
      </w:r>
    </w:p>
    <w:p w:rsidR="006F59E5" w:rsidRDefault="006F59E5">
      <w:bookmarkStart w:id="0" w:name="_GoBack"/>
      <w:bookmarkEnd w:id="0"/>
    </w:p>
    <w:sectPr w:rsidR="006F59E5" w:rsidSect="001652EF">
      <w:endnotePr>
        <w:numFmt w:val="decimal"/>
      </w:endnotePr>
      <w:pgSz w:w="11906" w:h="16838"/>
      <w:pgMar w:top="1417" w:right="1020" w:bottom="992" w:left="102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9E5"/>
    <w:rsid w:val="001863B7"/>
    <w:rsid w:val="006F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93EFFA-E3A5-420E-8444-0FB5F484E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Irmina Budziwojska</dc:creator>
  <cp:keywords/>
  <dc:description/>
  <cp:lastModifiedBy>Irmina Budziwojska</cp:lastModifiedBy>
  <cp:revision>1</cp:revision>
  <dcterms:created xsi:type="dcterms:W3CDTF">2021-08-30T08:27:00Z</dcterms:created>
  <dcterms:modified xsi:type="dcterms:W3CDTF">2021-08-30T08:36:00Z</dcterms:modified>
</cp:coreProperties>
</file>