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C67E8">
      <w:pPr>
        <w:jc w:val="center"/>
        <w:rPr>
          <w:b/>
          <w:caps/>
        </w:rPr>
      </w:pPr>
      <w:r>
        <w:rPr>
          <w:b/>
          <w:caps/>
        </w:rPr>
        <w:t>Zarządzenie Nr 105/2021</w:t>
      </w:r>
      <w:r>
        <w:rPr>
          <w:b/>
          <w:caps/>
        </w:rPr>
        <w:br/>
        <w:t>Prezydenta Miasta Elbląg</w:t>
      </w:r>
    </w:p>
    <w:p w:rsidR="00A77B3E" w:rsidRDefault="007C67E8">
      <w:pPr>
        <w:spacing w:before="280" w:after="280"/>
        <w:jc w:val="center"/>
        <w:rPr>
          <w:b/>
          <w:caps/>
        </w:rPr>
      </w:pPr>
      <w:r>
        <w:t>z dnia 26 marca 2021 r.</w:t>
      </w:r>
    </w:p>
    <w:p w:rsidR="00A77B3E" w:rsidRDefault="007C67E8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7C67E8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1990 ze zm.)</w:t>
      </w:r>
    </w:p>
    <w:p w:rsidR="00A77B3E" w:rsidRDefault="007C67E8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</w:t>
      </w:r>
      <w:r>
        <w:rPr>
          <w:color w:val="000000"/>
          <w:u w:color="000000"/>
        </w:rPr>
        <w:t>gólnych nieruchomości zostaną ustalone we właściwych protokołach.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</w:t>
      </w:r>
      <w:r>
        <w:rPr>
          <w:color w:val="000000"/>
          <w:u w:color="000000"/>
        </w:rPr>
        <w:t>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7C67E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C67E8" w:rsidRDefault="007C67E8">
      <w:pPr>
        <w:keepLines/>
        <w:spacing w:before="120" w:after="120"/>
        <w:rPr>
          <w:color w:val="000000"/>
          <w:u w:color="000000"/>
        </w:rPr>
        <w:sectPr w:rsidR="007C67E8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7C67E8">
      <w:pPr>
        <w:spacing w:before="120"/>
        <w:ind w:left="1027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105/2021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26 marca2021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C07BC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7C67E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 xml:space="preserve">nieruchomości przeznaczonych </w:t>
      </w:r>
      <w:r>
        <w:rPr>
          <w:b/>
          <w:color w:val="000000"/>
          <w:u w:color="000000"/>
        </w:rPr>
        <w:t>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C07BC7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07BC7" w:rsidRDefault="007C67E8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07BC7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7BC7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C07BC7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ul. Ignacego Kraszewskiego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32290/5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662/14</w:t>
            </w:r>
          </w:p>
          <w:p w:rsidR="00C07BC7" w:rsidRDefault="007C67E8">
            <w:pPr>
              <w:jc w:val="center"/>
            </w:pPr>
            <w:r>
              <w:t>673/8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0,0082</w:t>
            </w:r>
          </w:p>
          <w:p w:rsidR="00C07BC7" w:rsidRDefault="007C67E8">
            <w:pPr>
              <w:jc w:val="center"/>
            </w:pPr>
            <w:r>
              <w:t>0,0004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C07BC7" w:rsidRDefault="007C67E8">
            <w:pPr>
              <w:jc w:val="center"/>
            </w:pPr>
            <w:r>
              <w:rPr>
                <w:sz w:val="20"/>
              </w:rPr>
              <w:t xml:space="preserve"> Działki zbywane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20.600 zł</w:t>
            </w:r>
          </w:p>
        </w:tc>
      </w:tr>
      <w:tr w:rsidR="00C07BC7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C67E8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07BC7" w:rsidRDefault="007C67E8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C07BC7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07BC7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07BC7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C67E8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</w:t>
            </w:r>
            <w:r>
              <w:rPr>
                <w:sz w:val="18"/>
              </w:rPr>
              <w:t>o których mowa w art.34 ust.1 ustawy o gospodarce nieruchomościami nabywają nieruchomość za cenę określoną na podstawie art.67 ust.3 ustawy o gospodarce nieruchomościami. </w:t>
            </w:r>
          </w:p>
          <w:p w:rsidR="00C07BC7" w:rsidRDefault="007C67E8">
            <w:r>
              <w:rPr>
                <w:sz w:val="18"/>
              </w:rPr>
              <w:t xml:space="preserve">Pierwszeństwo w nabyciu nieruchomości określonych w powyższym wykazie dotyczy osób, </w:t>
            </w:r>
            <w:r>
              <w:rPr>
                <w:sz w:val="18"/>
              </w:rPr>
              <w:t>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</w:t>
            </w:r>
            <w:r>
              <w:rPr>
                <w:sz w:val="18"/>
              </w:rPr>
              <w:t>i, licząc od dnia wywieszenia wykazu.</w:t>
            </w:r>
          </w:p>
        </w:tc>
      </w:tr>
      <w:tr w:rsidR="00C07BC7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07BC7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7C67E8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C67E8"/>
    <w:rsid w:val="00A77B3E"/>
    <w:rsid w:val="00C07BC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336</Words>
  <Characters>2022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105/2021 z dnia 26 marca 2021 r.</vt:lpstr>
      <vt:lpstr/>
    </vt:vector>
  </TitlesOfParts>
  <Company>Prezydent Miasta Elbląg</Company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105/2021 z dnia 26 marca 2021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2021-03-26T12:42:00Z</dcterms:created>
  <dcterms:modified xsi:type="dcterms:W3CDTF">2021-03-26T12:42:00Z</dcterms:modified>
  <cp:category>Akt prawny</cp:category>
</cp:coreProperties>
</file>