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3B3CBA">
      <w:pPr>
        <w:jc w:val="center"/>
        <w:rPr>
          <w:b/>
          <w:caps/>
        </w:rPr>
      </w:pPr>
      <w:r>
        <w:rPr>
          <w:b/>
          <w:caps/>
        </w:rPr>
        <w:t>Zarządzenie Nr 82/2021</w:t>
      </w:r>
      <w:r>
        <w:rPr>
          <w:b/>
          <w:caps/>
        </w:rPr>
        <w:br/>
        <w:t>Prezydenta Miasta Elbląg</w:t>
      </w:r>
    </w:p>
    <w:p w:rsidR="00A77B3E" w:rsidRDefault="003B3CBA">
      <w:pPr>
        <w:spacing w:before="280" w:after="280"/>
        <w:jc w:val="center"/>
        <w:rPr>
          <w:b/>
          <w:caps/>
        </w:rPr>
      </w:pPr>
      <w:r>
        <w:t>z dnia 10 marca</w:t>
      </w:r>
      <w:bookmarkStart w:id="0" w:name="_GoBack"/>
      <w:bookmarkEnd w:id="0"/>
      <w:r>
        <w:t> 2021 r.</w:t>
      </w:r>
    </w:p>
    <w:p w:rsidR="00A77B3E" w:rsidRDefault="003B3CBA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3B3CBA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3B3CB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3B3C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>ia się obciążyć nieruchomości 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3B3CB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ustanowienia służebności zostaną określone w protokole z rokowań.</w:t>
      </w:r>
    </w:p>
    <w:p w:rsidR="00A77B3E" w:rsidRDefault="003B3C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3B3C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3B3CB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2021-03-19T08:09:00Z</dcterms:created>
  <dcterms:modified xsi:type="dcterms:W3CDTF">2021-03-19T08:09:00Z</dcterms:modified>
  <cp:category>Akt prawny</cp:category>
</cp:coreProperties>
</file>