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437/2020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listopada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23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437/2020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listopada 2020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567"/>
        <w:gridCol w:w="3074"/>
        <w:gridCol w:w="1134"/>
        <w:gridCol w:w="970"/>
        <w:gridCol w:w="1104"/>
        <w:gridCol w:w="895"/>
        <w:gridCol w:w="910"/>
        <w:gridCol w:w="1044"/>
        <w:gridCol w:w="2059"/>
        <w:gridCol w:w="1"/>
        <w:gridCol w:w="1715"/>
        <w:gridCol w:w="1"/>
        <w:gridCol w:w="1077"/>
        <w:gridCol w:w="2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3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24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Świerkowa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149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0,0621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EL1E/00031293/9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142.200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Królewiecka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209A/I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742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0,0593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EL1E/00028278/4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161.800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Królewiecka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209A/III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742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0,0593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EL1E/00028278/4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162.500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Królewiecka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577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0,0456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EL1E/00028090/2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142.700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Marymoncka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181/10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0,1042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EL1E/00071655/7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169.200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437/2020 z dnia 5 listopada 2020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2020-11-06T13:08:42Z</dcterms:created>
  <dcterms:modified xsi:type="dcterms:W3CDTF">2020-11-06T13:08:42Z</dcterms:modified>
  <cp:category>Akt prawny</cp:category>
</cp:coreProperties>
</file>