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F3D2D">
      <w:pPr>
        <w:jc w:val="center"/>
        <w:rPr>
          <w:b/>
          <w:caps/>
        </w:rPr>
      </w:pPr>
      <w:r>
        <w:rPr>
          <w:b/>
          <w:caps/>
        </w:rPr>
        <w:t>Zarządzenie Nr 433/2020</w:t>
      </w:r>
      <w:r>
        <w:rPr>
          <w:b/>
          <w:caps/>
        </w:rPr>
        <w:br/>
        <w:t>Prezydenta Miasta Elbląg</w:t>
      </w:r>
    </w:p>
    <w:p w:rsidR="00A77B3E" w:rsidRDefault="00EF3D2D">
      <w:pPr>
        <w:spacing w:before="280" w:after="280"/>
        <w:jc w:val="center"/>
        <w:rPr>
          <w:b/>
          <w:caps/>
        </w:rPr>
      </w:pPr>
      <w:r>
        <w:t>z dnia 4 listopada</w:t>
      </w:r>
      <w:bookmarkStart w:id="0" w:name="_GoBack"/>
      <w:bookmarkEnd w:id="0"/>
      <w:r>
        <w:t> 2020 r.</w:t>
      </w:r>
    </w:p>
    <w:p w:rsidR="00A77B3E" w:rsidRDefault="00EF3D2D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EF3D2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EF3D2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F3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</w:t>
      </w:r>
      <w:r>
        <w:rPr>
          <w:color w:val="000000"/>
          <w:u w:color="000000"/>
        </w:rPr>
        <w:t>ć nieruchomości gruntowe, stanowiące własność Gminy Miasto Elbląg, szczegółowo opisane w załączniku nr 1 do niniejszego zarządzenia, służebnością przesyłu na rzecz Elbląskiego Przedsiębiorstwa Energetyki Cieplnej Sp. z o.o. z siedzibą w Elblągu.</w:t>
      </w:r>
    </w:p>
    <w:p w:rsidR="00A77B3E" w:rsidRDefault="00EF3D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</w:t>
      </w:r>
      <w:r>
        <w:rPr>
          <w:color w:val="000000"/>
          <w:u w:color="000000"/>
        </w:rPr>
        <w:t>łowe warunki ustanowienia służebności zostaną określone w protokole z rokowań.</w:t>
      </w:r>
    </w:p>
    <w:p w:rsidR="00A77B3E" w:rsidRDefault="00EF3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F3D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EF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2020-11-06T09:04:00Z</dcterms:created>
  <dcterms:modified xsi:type="dcterms:W3CDTF">2020-11-06T09:04:00Z</dcterms:modified>
  <cp:category>Akt prawny</cp:category>
</cp:coreProperties>
</file>