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229/2020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czerwca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2016r.,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3794),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229/2020 z dnia 30 czerwca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2020-07-01T12:39:35Z</dcterms:created>
  <dcterms:modified xsi:type="dcterms:W3CDTF">2020-07-01T12:39:35Z</dcterms:modified>
  <cp:category>Akt prawny</cp:category>
</cp:coreProperties>
</file>