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208/2020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czerwca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Bolesława Chrobrego, ul. Kruczej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ul. Sokolej,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działki nr 218/1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0,0888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218/2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0,0900 ha, nr 218/8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0,0765 ha, nr 218/10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218/11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218/16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0,0841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218/17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218/22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0,0841 ha, nr 218/23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0,0840 ha, nr 218/28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0,0793 ha, nr 218/29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0,0918 ha, 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odpowiednimi 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drogach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działki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218/38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0,3820 ha, nr 218/39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0,2966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ustnego przetargu nieograniczonego na sprzedaż nieruchomości,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Malborskiej,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142/4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0,8721 ha i przy ul. Romualda Mielczarskiego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działki: nr 144/7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0,3553 ha, nr 144/8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0,0249 ha i nr 144/9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0,2924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czwartego ustnego przetargu nieograniczonego na sprzedaż nieruchomości gruntowej stanowiącej własność Gminy Miasto Elbląg, położonej w Elblągu przy ul. Lotniczej, oznaczonej w ewidencji gruntów i budynków w obr. 23 jako działka nr 38/4 o pow. 0,9145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Rawskiej,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313/2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0,0711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niezabudowanej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Marymonckiej,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181/9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0,0689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ul. Stanisława Wyspiańskiego,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259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0,0248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Drzewnej,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246/7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0,0972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208/2020 z dnia 9 czerwca 2020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2020-06-10T11:07:36Z</dcterms:created>
  <dcterms:modified xsi:type="dcterms:W3CDTF">2020-06-10T11:07:36Z</dcterms:modified>
  <cp:category>Akt prawny</cp:category>
</cp:coreProperties>
</file>