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184/2020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19 maja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65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 127/2020 Prezydenta Miasta Elbląg z dnia 25 marca 2020 r. w sprawie sporządzenia i ogłoszenia wykazu nieruchomości przeznaczonych do zbycia.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329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184/2020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19 maja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051"/>
        <w:gridCol w:w="1081"/>
        <w:gridCol w:w="1066"/>
        <w:gridCol w:w="3903"/>
        <w:gridCol w:w="1321"/>
        <w:gridCol w:w="229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3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2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Bolesława Prusa 1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32910/8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0,0732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niezabudowana</w:t>
            </w:r>
          </w:p>
          <w:p>
            <w:pPr>
              <w:jc w:val="center"/>
            </w:pPr>
            <w:r>
              <w:rPr>
                <w:sz w:val="20"/>
              </w:rPr>
              <w:t>Udział w 1/5 cz. nieruchomości, zbywany w trybie art. 37 ust.2 pkt 6) u.g.n., tj. celem poprawy warunków zagospodarowania nieruchomości przyległej.</w:t>
            </w:r>
          </w:p>
        </w:tc>
        <w:tc>
          <w:tcPr>
            <w:tcW w:w="13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użytkowanie wieczyste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21.298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5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9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55"/>
        <w:gridCol w:w="1423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 xml:space="preserve">* </w:t>
            </w:r>
          </w:p>
        </w:tc>
        <w:tc>
          <w:tcPr>
            <w:tcW w:w="1423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 xml:space="preserve">Osoby, o których mowa w art.34 ust.1 ustawy o gospodarce nieruchomościami nabywają nieruchomość za cenę określoną na podstawie art.67 ust.3 ustawy o gospodarce nieruchomościami.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1423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 xml:space="preserve"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2.</w:t>
            </w:r>
          </w:p>
        </w:tc>
        <w:tc>
          <w:tcPr>
            <w:tcW w:w="1423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Pierwsza opłata z tyt. ustanowienia prawa użytkowania wieczystego stanowi 25% wartości gruntu (plus VAT - zgodnie z obowiązującymi przepisami). Opłata jest płatna przed zawarciem umowy sprzedaży.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1423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Kolejne opłaty roczne, stanowiące 1% wartości gruntu (plus VAT - zgodnie z obowiązującymi przepisami) i płatne są z góry w terminie do 31 marca każdego roku.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 xml:space="preserve">4. </w:t>
            </w:r>
          </w:p>
        </w:tc>
        <w:tc>
          <w:tcPr>
            <w:tcW w:w="1423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Wysokość opłat rocznych może być aktualizowana na skutek zmian wartości gruntu, nie częściej niż raz na 3 lata.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4"/>
        </w:trPr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23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90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Sporządził: Aleksandra Kłos, 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184/2020 z dnia 19 maja 2020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2020-05-20T12:41:16Z</dcterms:created>
  <dcterms:modified xsi:type="dcterms:W3CDTF">2020-05-20T12:41:16Z</dcterms:modified>
  <cp:category>Akt prawny</cp:category>
</cp:coreProperties>
</file>