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7259B">
      <w:pPr>
        <w:jc w:val="center"/>
        <w:rPr>
          <w:b/>
          <w:caps/>
        </w:rPr>
      </w:pPr>
      <w:r>
        <w:rPr>
          <w:b/>
          <w:caps/>
        </w:rPr>
        <w:t>Zarządzenie Nr 160/2020</w:t>
      </w:r>
      <w:r>
        <w:rPr>
          <w:b/>
          <w:caps/>
        </w:rPr>
        <w:br/>
        <w:t>Prezydenta Miasta Elbląg</w:t>
      </w:r>
    </w:p>
    <w:p w:rsidR="00A77B3E" w:rsidRDefault="0067259B">
      <w:pPr>
        <w:spacing w:before="280" w:after="280"/>
        <w:jc w:val="center"/>
        <w:rPr>
          <w:b/>
          <w:caps/>
        </w:rPr>
      </w:pPr>
      <w:r>
        <w:t>z dnia 23 kwietnia</w:t>
      </w:r>
      <w:r>
        <w:t> 2020 r.</w:t>
      </w:r>
    </w:p>
    <w:p w:rsidR="00A77B3E" w:rsidRDefault="0067259B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7259B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67259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Elbląg przeznacza się do zbycia nieruchomości szczegółowo opisane w załączniku do </w:t>
      </w:r>
      <w:r>
        <w:t>niniejszego Zarządzenia.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</w:t>
      </w:r>
      <w:r>
        <w:rPr>
          <w:color w:val="000000"/>
          <w:u w:color="000000"/>
        </w:rPr>
        <w:t>z nieruchomości, o którym mowa w ust. 1, podlega ogłoszeniu poprzez wywieszenie na tablicy ogłoszeń w siedzibie Urzędu Miejskiego w Elblągu na okres 21 dni, a ponadto informacja o jego wywieszeniu podana zostanie do wiadomości publicznej poprzez ogłoszenie</w:t>
      </w:r>
      <w:r>
        <w:rPr>
          <w:color w:val="000000"/>
          <w:u w:color="000000"/>
        </w:rPr>
        <w:t xml:space="preserve"> w prasie lokalnej.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725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7259B" w:rsidRDefault="0067259B">
      <w:pPr>
        <w:keepLines/>
        <w:spacing w:before="120" w:after="120"/>
        <w:rPr>
          <w:color w:val="000000"/>
          <w:u w:color="000000"/>
        </w:rPr>
        <w:sectPr w:rsidR="0067259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7259B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160/2020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23 kwietnia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67259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52"/>
        <w:gridCol w:w="1137"/>
        <w:gridCol w:w="1002"/>
        <w:gridCol w:w="1107"/>
        <w:gridCol w:w="957"/>
        <w:gridCol w:w="3961"/>
        <w:gridCol w:w="1346"/>
        <w:gridCol w:w="1510"/>
        <w:gridCol w:w="1017"/>
      </w:tblGrid>
      <w:tr w:rsidR="001F1649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5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1F1649" w:rsidRDefault="0067259B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</w:tr>
      <w:tr w:rsidR="001F1649">
        <w:trPr>
          <w:trHeight w:val="6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</w:tr>
      <w:tr w:rsidR="001F1649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</w:t>
            </w:r>
          </w:p>
        </w:tc>
      </w:tr>
      <w:tr w:rsidR="001F1649"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ul. Królewiecka 195b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62050/0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825/2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0,1856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 xml:space="preserve">Udział 2463/10000 części nieruchomości zabudowanej budynkiem o funkcji handlowo-usługowej, na który składa się hala </w:t>
            </w:r>
            <w:r>
              <w:t>produkcyjna z zespołem pomieszczeń biurowo-socjalnych i gospodarczych, o łącznej pow. 923,4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721.200 zł</w:t>
            </w:r>
          </w:p>
        </w:tc>
      </w:tr>
      <w:tr w:rsidR="001F1649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7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1F1649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67259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</w:t>
            </w:r>
          </w:p>
          <w:p w:rsidR="001F1649" w:rsidRDefault="0067259B">
            <w:pPr>
              <w:jc w:val="left"/>
            </w:pPr>
            <w:r>
              <w:rPr>
                <w:sz w:val="16"/>
              </w:rPr>
              <w:t>w dz. nr 825/2: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155.370 zł</w:t>
            </w:r>
          </w:p>
        </w:tc>
      </w:tr>
      <w:tr w:rsidR="001F1649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46994/1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824/2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0,7417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t xml:space="preserve">Udział 15/100 części nieruchomości </w:t>
            </w:r>
            <w:r>
              <w:t>niezabudowanej, stanowiącej drogę i place utwardzone</w:t>
            </w: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67259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udział </w:t>
            </w:r>
          </w:p>
          <w:p w:rsidR="001F1649" w:rsidRDefault="0067259B">
            <w:pPr>
              <w:jc w:val="left"/>
            </w:pPr>
            <w:r>
              <w:rPr>
                <w:sz w:val="16"/>
              </w:rPr>
              <w:t>w dz. nr 824/2: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119.599 zł</w:t>
            </w:r>
          </w:p>
        </w:tc>
      </w:tr>
      <w:tr w:rsidR="001F1649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67259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hala produkcyjna z pomieszczeniami: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446.231 zł</w:t>
            </w:r>
          </w:p>
        </w:tc>
      </w:tr>
      <w:tr w:rsidR="001F164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5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725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1F1649" w:rsidRDefault="0067259B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7259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1F1649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7259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</w:t>
            </w:r>
            <w:r>
              <w:rPr>
                <w:color w:val="000000"/>
                <w:sz w:val="18"/>
                <w:u w:color="000000"/>
              </w:rPr>
              <w:t>ustawy o gospodarce nieruchomościami nabywają nieruchomość za cenę określoną na podstawie art.67 ust.3 ustawy o gospodarce nieruchomościami. </w:t>
            </w:r>
          </w:p>
          <w:p w:rsidR="00A77B3E" w:rsidRDefault="0067259B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</w:t>
            </w:r>
            <w:r>
              <w:rPr>
                <w:color w:val="000000"/>
                <w:sz w:val="18"/>
                <w:u w:color="000000"/>
              </w:rPr>
              <w:t xml:space="preserve">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</w:t>
            </w:r>
            <w:r>
              <w:rPr>
                <w:color w:val="000000"/>
                <w:sz w:val="18"/>
                <w:u w:color="000000"/>
              </w:rPr>
              <w:t>wykazu.</w:t>
            </w:r>
          </w:p>
        </w:tc>
      </w:tr>
      <w:tr w:rsidR="001F1649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7259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67259B">
      <w:pPr>
        <w:rPr>
          <w:color w:val="000000"/>
          <w:u w:color="000000"/>
        </w:rPr>
      </w:pPr>
    </w:p>
    <w:p w:rsidR="00A77B3E" w:rsidRDefault="0067259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49"/>
    <w:rsid w:val="001F1649"/>
    <w:rsid w:val="0067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2020-04-28T12:48:00Z</dcterms:created>
  <dcterms:modified xsi:type="dcterms:W3CDTF">2020-04-28T12:48:00Z</dcterms:modified>
  <cp:category>Akt prawny</cp:category>
</cp:coreProperties>
</file>