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D3998" w14:textId="32768E50" w:rsidR="00A77B3E" w:rsidRDefault="004305D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A3D45">
        <w:rPr>
          <w:b/>
          <w:caps/>
        </w:rPr>
        <w:t xml:space="preserve"> 144/2020</w:t>
      </w:r>
      <w:r>
        <w:rPr>
          <w:b/>
          <w:caps/>
        </w:rPr>
        <w:br/>
        <w:t>Prezydenta Miasta Elbląg</w:t>
      </w:r>
    </w:p>
    <w:p w14:paraId="38876724" w14:textId="23ECD10E" w:rsidR="00A77B3E" w:rsidRDefault="004305DE">
      <w:pPr>
        <w:spacing w:before="280" w:after="280"/>
        <w:jc w:val="center"/>
        <w:rPr>
          <w:b/>
          <w:caps/>
        </w:rPr>
      </w:pPr>
      <w:r>
        <w:t>z dnia</w:t>
      </w:r>
      <w:r w:rsidR="00EA3D45">
        <w:t xml:space="preserve"> 08 kwietnia</w:t>
      </w:r>
      <w:r>
        <w:t> 2020 r.</w:t>
      </w:r>
    </w:p>
    <w:p w14:paraId="3D8CB1A3" w14:textId="77777777" w:rsidR="00A77B3E" w:rsidRDefault="004305DE">
      <w:pPr>
        <w:keepNext/>
        <w:spacing w:after="480"/>
        <w:jc w:val="center"/>
      </w:pPr>
      <w:r>
        <w:rPr>
          <w:b/>
        </w:rPr>
        <w:t>w sprawie ustalenia wskaźnika struktury sprzedaży (WSS) oraz prewspółczynnika VAT do stosowania na rok 2020 dla Urzędu Miasta Elbląg</w:t>
      </w:r>
    </w:p>
    <w:p w14:paraId="598780B9" w14:textId="77777777" w:rsidR="00A77B3E" w:rsidRDefault="004305DE">
      <w:pPr>
        <w:keepLines/>
        <w:spacing w:before="120" w:after="120"/>
        <w:ind w:firstLine="227"/>
      </w:pPr>
      <w:r>
        <w:t>Na podstawie art. 30 ust. 1 ustawy z dnia 8 marca 1990 r. o samorządzie gminnym ( Dz. U. z 2019 r., poz. 506, 1309, 1571, 1696 i 1815), w związku z art. 86 ust. 2a-2h, art. 90 ust. 3, art. 91 ustawy z dnia 11 marca 2004 r. o podatku od towarów i usług (Dz. U. z 2020 r., poz.106) oraz rozporządzenia Ministra Finansów z dnia 17 grudnia 2015 r. w sprawie sposobu określenia zakresu wykorzystania nabywanych towarów i usług do celów działalności gospodarczej w przypadku niektórych podatników (Dz. U. z 2015 r., poz. 2193, z 2020 r., poz. 289), zarządza się co następuje:</w:t>
      </w:r>
    </w:p>
    <w:p w14:paraId="3E621020" w14:textId="77777777" w:rsidR="00A77B3E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proporcję rocznego obrotu z tytułu czynności, w związku z którymi podatnikowi przysługuje prawo do obniżenia kwoty podatku należnego oraz czynności, w związku z którymi podatnikowi nie przysługuje takie prawo w wysokości 53 % zgodnie z załącznikiem nr 1 do niniejszego zarządzenia.</w:t>
      </w:r>
    </w:p>
    <w:p w14:paraId="53116A13" w14:textId="77777777" w:rsidR="00A77B3E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proporcję (prewspółczynnik VAT) na rok 2020 dla Urzędu Miasta Elbląg, w związku z którą przysługuje prawo odliczenia podatku naliczonego w przypadku nabycia towarów i usług wykorzystywanych do celów wykonywanej przez podatnika działalności gospodarczej  jak i do innych niż działalność gospodarcza w wysokości  10 % zgodnie z załącznikiem nr 2 do niniejszego zarządzenia.</w:t>
      </w:r>
    </w:p>
    <w:p w14:paraId="5E1F3B8F" w14:textId="77777777" w:rsidR="00A77B3E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proporcję na rok 2020 dla Urzędu Miasta Elbląg przy zastosowaniu rocznej struktury sprzedaży za 2019 rok oraz prewspółczynnika VAT –roczny obrót z działalności gospodarczej wyliczony na podstawie danych za 2019 r.  w wysokości  5,3 % zgodnie z załącznikiem nr 3 do niniejszego zarządzenia.</w:t>
      </w:r>
    </w:p>
    <w:p w14:paraId="6F3CC2ED" w14:textId="77777777" w:rsidR="00A77B3E" w:rsidRDefault="004305D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 z dniem  podpisania z mocą obowiązującą od 1 stycznia 2020 r.</w:t>
      </w:r>
    </w:p>
    <w:p w14:paraId="090EE01C" w14:textId="2D88A4EB" w:rsidR="00A77B3E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EA3D45">
        <w:rPr>
          <w:color w:val="000000"/>
          <w:u w:color="000000"/>
        </w:rPr>
        <w:t>144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08 kwietnia </w:t>
      </w:r>
      <w:r>
        <w:rPr>
          <w:color w:val="000000"/>
          <w:u w:color="000000"/>
        </w:rPr>
        <w:t>2020 r.</w:t>
      </w:r>
    </w:p>
    <w:p w14:paraId="1AB835C4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rocznej struktury sprzedaży do stosowania w roku 2020.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0"/>
        <w:gridCol w:w="2918"/>
        <w:gridCol w:w="4234"/>
      </w:tblGrid>
      <w:tr w:rsidR="005360EA" w14:paraId="4DAB08D3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5E65" w14:textId="77777777" w:rsidR="00A77B3E" w:rsidRDefault="00EA3D45">
            <w:pPr>
              <w:jc w:val="center"/>
              <w:rPr>
                <w:color w:val="000000"/>
                <w:u w:color="000000"/>
              </w:rPr>
            </w:pPr>
          </w:p>
          <w:p w14:paraId="3E791964" w14:textId="77777777" w:rsidR="005360EA" w:rsidRDefault="004305DE">
            <w:pPr>
              <w:jc w:val="center"/>
            </w:pPr>
            <w:r>
              <w:t>X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DCDB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Obrót z tytułu czynności, w związku z którymi  przysługuje prawo do obniżenia kwoty podatku</w:t>
            </w:r>
          </w:p>
          <w:p w14:paraId="2F589AFF" w14:textId="77777777" w:rsidR="005360EA" w:rsidRDefault="005360EA"/>
          <w:p w14:paraId="753EEF84" w14:textId="77777777" w:rsidR="005360EA" w:rsidRDefault="004305DE">
            <w:pPr>
              <w:jc w:val="center"/>
            </w:pPr>
            <w:r>
              <w:t>(wartość netto opodatkowana)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94B7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Całkowity obrót z tytułu czynności, w związku z którymi podatnikowi przysługuje prawo do obniżenia kwoty podatku należnego</w:t>
            </w:r>
          </w:p>
          <w:p w14:paraId="2890EA67" w14:textId="77777777" w:rsidR="005360EA" w:rsidRDefault="004305DE">
            <w:pPr>
              <w:jc w:val="center"/>
            </w:pPr>
            <w:r>
              <w:t>oraz czynności,</w:t>
            </w:r>
          </w:p>
          <w:p w14:paraId="5A7D348D" w14:textId="77777777" w:rsidR="005360EA" w:rsidRDefault="004305DE">
            <w:pPr>
              <w:jc w:val="center"/>
            </w:pPr>
            <w:r>
              <w:t>w związku z którymi podatnikowi nie przysługuje takie prawo</w:t>
            </w:r>
          </w:p>
          <w:p w14:paraId="1055FBD6" w14:textId="77777777" w:rsidR="005360EA" w:rsidRDefault="004305DE">
            <w:pPr>
              <w:jc w:val="center"/>
            </w:pPr>
            <w:r>
              <w:t>(wartość netto opodatkowana oraz zwolniona)</w:t>
            </w:r>
          </w:p>
        </w:tc>
      </w:tr>
      <w:tr w:rsidR="005360EA" w14:paraId="52EF92E4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5674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Styczeń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764C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798 950,89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1E874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927 242,81</w:t>
            </w:r>
          </w:p>
        </w:tc>
      </w:tr>
      <w:tr w:rsidR="005360EA" w14:paraId="5FE0760B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0C1F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Luty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4CC30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858 265,50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A3FDB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960 730,47</w:t>
            </w:r>
          </w:p>
        </w:tc>
      </w:tr>
      <w:tr w:rsidR="005360EA" w14:paraId="65822F0C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AC2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Marzec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B3A7F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504 469,08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FE1B2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609 967,73</w:t>
            </w:r>
          </w:p>
        </w:tc>
      </w:tr>
      <w:tr w:rsidR="005360EA" w14:paraId="1FF0A65B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C0D7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Kwiecień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9DE01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723 667,80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6CDC4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994 185,53</w:t>
            </w:r>
          </w:p>
        </w:tc>
      </w:tr>
      <w:tr w:rsidR="005360EA" w14:paraId="5057B90F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B5D7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Maj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EEF90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813 569,94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96E42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1 175 632,52</w:t>
            </w:r>
          </w:p>
        </w:tc>
      </w:tr>
      <w:tr w:rsidR="005360EA" w14:paraId="4BE21728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18B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Czerwiec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1FD52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319 116,91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FF4E0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1 050 041,56</w:t>
            </w:r>
          </w:p>
        </w:tc>
      </w:tr>
      <w:tr w:rsidR="005360EA" w14:paraId="70FB08B6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34F2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Lipiec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EF277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934 506,41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8B52A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1 594 616,70</w:t>
            </w:r>
          </w:p>
        </w:tc>
      </w:tr>
      <w:tr w:rsidR="005360EA" w14:paraId="6DA2E4BB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2301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Sierpień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DC4FC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494 926,87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AFFC4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595 346,87</w:t>
            </w:r>
          </w:p>
        </w:tc>
      </w:tr>
      <w:tr w:rsidR="005360EA" w14:paraId="1520CB45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D4AB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Wrzesień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46BFB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1 661 891,03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F3715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2 176 575,63</w:t>
            </w:r>
          </w:p>
        </w:tc>
      </w:tr>
      <w:tr w:rsidR="005360EA" w14:paraId="14B93E74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C7BF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Październik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5AE4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201 842,79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B7CA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2 651 212,11</w:t>
            </w:r>
          </w:p>
        </w:tc>
      </w:tr>
      <w:tr w:rsidR="005360EA" w14:paraId="360464A8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9553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Listopad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658EF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710 816,82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A31E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1 124 244,07</w:t>
            </w:r>
          </w:p>
        </w:tc>
      </w:tr>
      <w:tr w:rsidR="005360EA" w14:paraId="3ABEF5D4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41B1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t>grudzień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1A2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306 564,58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E8DB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2 020 136,83</w:t>
            </w:r>
          </w:p>
        </w:tc>
      </w:tr>
      <w:tr w:rsidR="005360EA" w14:paraId="633D7C9C" w14:textId="77777777">
        <w:trPr>
          <w:trHeight w:val="58"/>
        </w:trPr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8BC6" w14:textId="77777777" w:rsidR="00A77B3E" w:rsidRDefault="004305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Razem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408E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8 328 588,62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E420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15 879 932,83</w:t>
            </w:r>
          </w:p>
        </w:tc>
      </w:tr>
    </w:tbl>
    <w:p w14:paraId="48E25678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wskaźnika.</w:t>
      </w:r>
    </w:p>
    <w:p w14:paraId="2E1C25B7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wzór na określenie wskaźnika</w:t>
      </w:r>
    </w:p>
    <w:p w14:paraId="08DFBB72" w14:textId="77777777" w:rsidR="00A77B3E" w:rsidRDefault="002B2CE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</w:t>
      </w:r>
      <w:r w:rsidR="004305DE">
        <w:rPr>
          <w:color w:val="000000"/>
          <w:u w:color="000000"/>
        </w:rPr>
        <w:t>A x 100</w:t>
      </w:r>
    </w:p>
    <w:p w14:paraId="0A26AF5A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=    _______</w:t>
      </w:r>
    </w:p>
    <w:p w14:paraId="0921C63F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2B2CE2">
        <w:rPr>
          <w:color w:val="000000"/>
          <w:u w:color="000000"/>
        </w:rPr>
        <w:t xml:space="preserve">       </w:t>
      </w:r>
      <w:r>
        <w:rPr>
          <w:color w:val="000000"/>
          <w:u w:color="000000"/>
        </w:rPr>
        <w:t>B</w:t>
      </w:r>
    </w:p>
    <w:p w14:paraId="6FBF1B5A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14:paraId="11893BF1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</w:t>
      </w:r>
    </w:p>
    <w:p w14:paraId="58CD43EC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 - roczny obrót z tytułu czynności, w związku z którym przysługuje prawo do obniżenia kwoty  podatku należnego</w:t>
      </w:r>
    </w:p>
    <w:p w14:paraId="55B3977D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 - całkowity koszt uzyskany z tytułu czynności, w związku z którym podatnikowi przysługuje prawo do obniżenia kwoty podatku należnego oraz czynności w związku z którym podatnikowi nie przysługuje takie prawo</w:t>
      </w:r>
      <w:r w:rsidR="00BE7906">
        <w:rPr>
          <w:color w:val="000000"/>
          <w:u w:color="000000"/>
        </w:rPr>
        <w:t xml:space="preserve"> </w:t>
      </w:r>
    </w:p>
    <w:p w14:paraId="65C77FAF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BE7906"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8 328 588,62</w:t>
      </w:r>
    </w:p>
    <w:p w14:paraId="317A3E48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WSS        =  _______________  =  53 %</w:t>
      </w:r>
    </w:p>
    <w:p w14:paraId="39B4249A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BE790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15 879 932,83</w:t>
      </w:r>
    </w:p>
    <w:p w14:paraId="4EECF69F" w14:textId="0DDF3943" w:rsidR="00A77B3E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EA3D45">
        <w:rPr>
          <w:color w:val="000000"/>
          <w:u w:color="000000"/>
        </w:rPr>
        <w:t>144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08 kwietnia </w:t>
      </w:r>
      <w:r>
        <w:rPr>
          <w:color w:val="000000"/>
          <w:u w:color="000000"/>
        </w:rPr>
        <w:t>2020 r.</w:t>
      </w:r>
    </w:p>
    <w:p w14:paraId="73BE00F5" w14:textId="77777777" w:rsidR="00A92B52" w:rsidRDefault="00A92B52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</w:p>
    <w:p w14:paraId="5B37B6FB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prewspółczynnika VAT do stosowania w roku 2020.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12"/>
        <w:gridCol w:w="2070"/>
      </w:tblGrid>
      <w:tr w:rsidR="005360EA" w14:paraId="182F4708" w14:textId="77777777">
        <w:trPr>
          <w:trHeight w:val="708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E51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Wyszczególnienie: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48D2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Kwota</w:t>
            </w:r>
          </w:p>
        </w:tc>
      </w:tr>
      <w:tr w:rsidR="005360EA" w14:paraId="5269BBF5" w14:textId="77777777">
        <w:trPr>
          <w:trHeight w:val="324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ADDC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Dochody razem: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B45A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702 217 605,07</w:t>
            </w:r>
          </w:p>
        </w:tc>
      </w:tr>
      <w:tr w:rsidR="005360EA" w14:paraId="758DDC20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88FC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dochody jednostek organizacyjnych- RB -27S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035D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21 358 028,61</w:t>
            </w:r>
          </w:p>
        </w:tc>
      </w:tr>
      <w:tr w:rsidR="005360EA" w14:paraId="5772924D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B38E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zasilenie jednostek organizacyjnych w środki na wydatki - RB-28S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393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334 813 886,94</w:t>
            </w:r>
          </w:p>
        </w:tc>
      </w:tr>
      <w:tr w:rsidR="005360EA" w14:paraId="54B49D57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6AF6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wyłączenie odsetek -organ § 0920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5B2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28,86</w:t>
            </w:r>
          </w:p>
        </w:tc>
      </w:tr>
      <w:tr w:rsidR="005360EA" w14:paraId="3F3F701F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F8F5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wyłączenie – odszkodowania  § 0950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AD7D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184 689,30</w:t>
            </w:r>
          </w:p>
        </w:tc>
      </w:tr>
      <w:tr w:rsidR="005360EA" w14:paraId="51C03812" w14:textId="77777777">
        <w:trPr>
          <w:trHeight w:val="3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3BAF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wyłączenie - zwrot z US nadwyżki podatku naliczonego § 0940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B465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591 251,73</w:t>
            </w:r>
          </w:p>
        </w:tc>
      </w:tr>
      <w:tr w:rsidR="005360EA" w14:paraId="357830C3" w14:textId="77777777">
        <w:trPr>
          <w:trHeight w:val="3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D8EA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minus nadwyżka dochodów własnych szkoły nad wydatkami § 2400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62B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5360EA" w14:paraId="5CEDA21E" w14:textId="77777777">
        <w:trPr>
          <w:trHeight w:val="324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8A78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Dochody po wyłączeniach: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116F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345 269 719,63</w:t>
            </w:r>
          </w:p>
        </w:tc>
      </w:tr>
      <w:tr w:rsidR="005360EA" w14:paraId="0292E65D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E17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Pozostałe wyłączenia: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7F21" w14:textId="77777777" w:rsidR="00A77B3E" w:rsidRDefault="00EA3D45">
            <w:pPr>
              <w:jc w:val="left"/>
              <w:rPr>
                <w:color w:val="000000"/>
                <w:u w:color="000000"/>
              </w:rPr>
            </w:pPr>
          </w:p>
        </w:tc>
      </w:tr>
      <w:tr w:rsidR="005360EA" w14:paraId="01AE35D6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3B4D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311 - Świadczenia społeczne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D7AE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121 541 670,10</w:t>
            </w:r>
          </w:p>
        </w:tc>
      </w:tr>
      <w:tr w:rsidR="005360EA" w14:paraId="4F44E287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FD88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324 - Stypendia dla uczniów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F30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88 690,42</w:t>
            </w:r>
          </w:p>
        </w:tc>
      </w:tr>
      <w:tr w:rsidR="005360EA" w14:paraId="0EF4B3F4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3B79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326 - Inne formy pomocy dla uczniów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500D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4 100,00</w:t>
            </w:r>
          </w:p>
        </w:tc>
      </w:tr>
      <w:tr w:rsidR="005360EA" w14:paraId="7C643C83" w14:textId="77777777">
        <w:trPr>
          <w:trHeight w:val="6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5814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236 - Dotacje celowe z budżetu jednostki samorządu terytorialnego, udzielone w trybie art. 221 ustawy, na finansowanie lub dofinansowanie zadań zleconych do realizacji organizacjom prowadzącym działalność pożytku publicznego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D932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14 464 412,11</w:t>
            </w:r>
          </w:p>
        </w:tc>
      </w:tr>
      <w:tr w:rsidR="005360EA" w14:paraId="55D59E76" w14:textId="77777777">
        <w:trPr>
          <w:trHeight w:val="3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5644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265 -  Dotacja przedmiotowa z budżetu dla samorządowego zakładu budżetowego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3F1A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1 560 000,00</w:t>
            </w:r>
          </w:p>
        </w:tc>
      </w:tr>
      <w:tr w:rsidR="005360EA" w14:paraId="701974D5" w14:textId="77777777">
        <w:trPr>
          <w:trHeight w:val="57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02C9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271 - Dotacja celowa na pomoc finansową udzielaną między jednostkami samorządu terytorialnego na dofinansowanie własnych zadań bieżących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C4C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81 590,00</w:t>
            </w:r>
          </w:p>
        </w:tc>
      </w:tr>
      <w:tr w:rsidR="005360EA" w14:paraId="0D37D3AB" w14:textId="77777777">
        <w:trPr>
          <w:trHeight w:val="66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034C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283 - Dotacja celowa z budżetu na finansowanie lub dofinansowanie zadań zleconych do realizacji pozostałym jednostkom niezaliczanym do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2E15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63 434,03</w:t>
            </w:r>
          </w:p>
        </w:tc>
      </w:tr>
      <w:tr w:rsidR="005360EA" w14:paraId="5DA09C70" w14:textId="77777777">
        <w:trPr>
          <w:trHeight w:val="645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FA4C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259 - Dotacja podmiotowa z budżetu dla publicznej jednostki systemu oświaty prowadzonej przez osobę prawną inną niż jednostka samorządu terytorialnego lub przez osobę fizyczną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11C6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6 350 466,62</w:t>
            </w:r>
          </w:p>
        </w:tc>
      </w:tr>
      <w:tr w:rsidR="005360EA" w14:paraId="73844518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67C6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254 - Dotacja podmiotowa z budżetu dla niepublicznej jednostki systemu oświaty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1721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16 663 949,89</w:t>
            </w:r>
          </w:p>
        </w:tc>
      </w:tr>
      <w:tr w:rsidR="005360EA" w14:paraId="7B47EF65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B071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248 - Dotacja podmiotowa z budżetu dla samorządowej instytucji kultury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A94E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9 413 359,00</w:t>
            </w:r>
          </w:p>
        </w:tc>
      </w:tr>
      <w:tr w:rsidR="005360EA" w14:paraId="396EDFF5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02A2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280 - Dotacja celowa z budżetu dla pozostałych jednostek zaliczanych do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CDF4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231 524,32</w:t>
            </w:r>
          </w:p>
        </w:tc>
      </w:tr>
      <w:tr w:rsidR="005360EA" w14:paraId="3E6E0B9F" w14:textId="77777777">
        <w:trPr>
          <w:trHeight w:val="848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9D6E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272 - Dotacje celowe z budżetu na finansowanie lub dofinansowanie prac remontowych i konserwatorskich obiektów zabytkowych przekazane jednostkom niezaliczanym do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8697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172 877,68</w:t>
            </w:r>
          </w:p>
        </w:tc>
      </w:tr>
      <w:tr w:rsidR="005360EA" w14:paraId="012B8868" w14:textId="77777777">
        <w:trPr>
          <w:trHeight w:val="3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B884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617 - Wpłaty jednostek na państwowy fundusz celowy na finansowanie lub dofinansowanie zadań inwestycyjnych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6D0D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219 000,00</w:t>
            </w:r>
          </w:p>
        </w:tc>
      </w:tr>
      <w:tr w:rsidR="005360EA" w14:paraId="36AC713D" w14:textId="77777777">
        <w:trPr>
          <w:trHeight w:val="585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BAD8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622 - Dotacje celowe z budżetu na finansowanie lub dofinansowanie kosztów realizacji inwestycji i zakupów inwestycyjnych innych jednostek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F219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978 540,77</w:t>
            </w:r>
          </w:p>
        </w:tc>
      </w:tr>
      <w:tr w:rsidR="005360EA" w14:paraId="1BFE3A5C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07EE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258 - Dotacja podmiotowa z budżetu dla jednostek niezaliczanych do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F5F9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214 583,56</w:t>
            </w:r>
          </w:p>
        </w:tc>
      </w:tr>
      <w:tr w:rsidR="005360EA" w14:paraId="4A866CD8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9A4A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285 - Wpłaty gmin na rzecz izb rolniczych w wysokości 2% uzyskanych wpływów z podatku rolnego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CB91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4 391,41</w:t>
            </w:r>
          </w:p>
        </w:tc>
      </w:tr>
      <w:tr w:rsidR="005360EA" w14:paraId="5B0ADE25" w14:textId="77777777">
        <w:trPr>
          <w:trHeight w:val="615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6BEB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§ 623 - Dotacje celowe z budżetu na finansowanie lub dofinansowanie kosztów realizacji inwestycji i zakupów inwestycyjnych jednostek niezaliczanych do sektora finansów publicznych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DADC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326 739,98</w:t>
            </w:r>
          </w:p>
        </w:tc>
      </w:tr>
      <w:tr w:rsidR="005360EA" w14:paraId="7E68609E" w14:textId="77777777">
        <w:trPr>
          <w:trHeight w:val="312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226F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295 - Zwrot niewykorzystanych dotacji oraz płatności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D2DE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406 840,17</w:t>
            </w:r>
          </w:p>
        </w:tc>
      </w:tr>
      <w:tr w:rsidR="005360EA" w14:paraId="0095E8A0" w14:textId="77777777">
        <w:trPr>
          <w:trHeight w:val="6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2AA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291 – Zwrot dotacji wykorzystanych niezgodnie z przeznaczeniem lub pobranych w nadmiernej wysokości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193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862,37</w:t>
            </w:r>
          </w:p>
        </w:tc>
      </w:tr>
      <w:tr w:rsidR="005360EA" w14:paraId="48F9DF1B" w14:textId="77777777">
        <w:trPr>
          <w:trHeight w:val="6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FBE6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621 – Dotacje celowe z budżetu na finansowanie lub dofinansowanie kosztów realizacji inwestycji i zakupów inwestycyjnych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BC2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39 598,72</w:t>
            </w:r>
          </w:p>
        </w:tc>
      </w:tr>
      <w:tr w:rsidR="005360EA" w14:paraId="656C07E7" w14:textId="77777777">
        <w:trPr>
          <w:trHeight w:val="630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E4CA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619 – Dotacje celowe z budżetu jednostki samorządu terytorialnego udzielone w trybie 221 ustawy, na dofinansowanie inwestycji w ramach zadań zleconych do realizacji organizacjom prowadzącym działalność pożytku publicznego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F09A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5360EA" w14:paraId="7E2E5D64" w14:textId="77777777">
        <w:trPr>
          <w:trHeight w:val="345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1F73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§ 230 – Wpłaty jednostek na państwowy fundusz celowy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C9E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98 480,00</w:t>
            </w:r>
          </w:p>
        </w:tc>
      </w:tr>
      <w:tr w:rsidR="005360EA" w14:paraId="30A363FA" w14:textId="77777777">
        <w:trPr>
          <w:trHeight w:val="345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B6EB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Łącznie pozostałe wyłączenia: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3D4C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172 975 111,15</w:t>
            </w:r>
          </w:p>
        </w:tc>
      </w:tr>
      <w:tr w:rsidR="005360EA" w14:paraId="595ABD27" w14:textId="77777777">
        <w:trPr>
          <w:trHeight w:val="348"/>
        </w:trPr>
        <w:tc>
          <w:tcPr>
            <w:tcW w:w="8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3FB9" w14:textId="77777777" w:rsidR="00A77B3E" w:rsidRDefault="004305DE">
            <w:pPr>
              <w:jc w:val="left"/>
              <w:rPr>
                <w:color w:val="000000"/>
                <w:u w:color="000000"/>
              </w:rPr>
            </w:pPr>
            <w:r>
              <w:t>Dochody po wyłączeniach (mianownik równania):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3DC7" w14:textId="77777777" w:rsidR="00A77B3E" w:rsidRDefault="004305DE">
            <w:pPr>
              <w:jc w:val="right"/>
              <w:rPr>
                <w:color w:val="000000"/>
                <w:u w:color="000000"/>
              </w:rPr>
            </w:pPr>
            <w:r>
              <w:t>172 294 608,48</w:t>
            </w:r>
          </w:p>
        </w:tc>
      </w:tr>
    </w:tbl>
    <w:p w14:paraId="09177469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prewspółczynnika</w:t>
      </w:r>
    </w:p>
    <w:p w14:paraId="63D9A18E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45B33">
        <w:rPr>
          <w:color w:val="000000"/>
          <w:u w:color="000000"/>
        </w:rPr>
        <w:t xml:space="preserve">  </w:t>
      </w:r>
      <w:r>
        <w:rPr>
          <w:color w:val="000000"/>
          <w:u w:color="000000"/>
        </w:rPr>
        <w:t>A x 100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F17B461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wzór na określenie proporcji     X  =  _________</w:t>
      </w:r>
    </w:p>
    <w:p w14:paraId="3B6FC761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45B33">
        <w:rPr>
          <w:color w:val="000000"/>
          <w:u w:color="000000"/>
        </w:rPr>
        <w:t xml:space="preserve">                             </w:t>
      </w:r>
      <w:r>
        <w:rPr>
          <w:color w:val="000000"/>
          <w:u w:color="000000"/>
        </w:rPr>
        <w:t>Djust</w:t>
      </w:r>
    </w:p>
    <w:p w14:paraId="4A409B6B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14:paraId="2B974724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całkowitej,</w:t>
      </w:r>
    </w:p>
    <w:p w14:paraId="6590FFCD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 - roczny obrót z działalności gospodarczej zrealizowany przez urząd obsługujący jednostkę</w:t>
      </w:r>
    </w:p>
    <w:p w14:paraId="06B23F81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samorządu terytorialnego, stanowiący część rocznego obrotu jst z działalności gospodarczej,</w:t>
      </w:r>
    </w:p>
    <w:p w14:paraId="7F3AFE24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Djust - dochody wykonane urzędu obsługującego jednostkę samorządu terytorialnego</w:t>
      </w:r>
    </w:p>
    <w:tbl>
      <w:tblPr>
        <w:tblW w:w="5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050"/>
        <w:gridCol w:w="2805"/>
        <w:gridCol w:w="1025"/>
        <w:gridCol w:w="236"/>
        <w:gridCol w:w="2196"/>
      </w:tblGrid>
      <w:tr w:rsidR="004305DE" w14:paraId="73AA2338" w14:textId="77777777" w:rsidTr="004305DE">
        <w:trPr>
          <w:trHeight w:val="365"/>
        </w:trPr>
        <w:tc>
          <w:tcPr>
            <w:tcW w:w="398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4B9D2" w14:textId="77777777" w:rsidR="004305DE" w:rsidRDefault="004305DE">
            <w:pPr>
              <w:jc w:val="center"/>
              <w:rPr>
                <w:color w:val="000000"/>
                <w:u w:color="000000"/>
              </w:rPr>
            </w:pPr>
            <w:r>
              <w:t>Prewspółczynnik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961D1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  <w:r>
              <w:t>X=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22BA4F11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  <w:r>
              <w:t>1 587 993 283</w:t>
            </w:r>
          </w:p>
        </w:tc>
        <w:tc>
          <w:tcPr>
            <w:tcW w:w="10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8053B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  <w:r>
              <w:t>=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76DA244" w14:textId="77777777" w:rsidR="004305DE" w:rsidRDefault="004305DE">
            <w:pPr>
              <w:jc w:val="left"/>
            </w:pPr>
          </w:p>
        </w:tc>
        <w:tc>
          <w:tcPr>
            <w:tcW w:w="219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6F1E1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  <w:r>
              <w:t>10 %</w:t>
            </w:r>
          </w:p>
        </w:tc>
      </w:tr>
      <w:tr w:rsidR="004305DE" w14:paraId="7066A6AB" w14:textId="77777777" w:rsidTr="004305DE">
        <w:trPr>
          <w:trHeight w:val="163"/>
        </w:trPr>
        <w:tc>
          <w:tcPr>
            <w:tcW w:w="39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61D6B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3784D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AE10F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  <w:r>
              <w:t>172 294 608,48</w:t>
            </w:r>
          </w:p>
        </w:tc>
        <w:tc>
          <w:tcPr>
            <w:tcW w:w="102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F8FA68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AB284B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96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5AE25" w14:textId="77777777" w:rsidR="004305DE" w:rsidRDefault="004305D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D14D72C" w14:textId="77777777" w:rsidR="00A77B3E" w:rsidRDefault="00EA3D45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38F7FF0" w14:textId="71208563" w:rsidR="00A77B3E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zarządzenia Nr </w:t>
      </w:r>
      <w:r w:rsidR="00EA3D45">
        <w:rPr>
          <w:color w:val="000000"/>
          <w:u w:color="000000"/>
        </w:rPr>
        <w:t>144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08 kwietnia </w:t>
      </w:r>
      <w:r>
        <w:rPr>
          <w:color w:val="000000"/>
          <w:u w:color="000000"/>
        </w:rPr>
        <w:t>2020 r.</w:t>
      </w:r>
    </w:p>
    <w:p w14:paraId="032BE293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proporcji przy zastosowaniu rocznej struktury sprzedaży za 2019 rok oraz prewspółczynnika VAT  przy założeniach:</w:t>
      </w:r>
    </w:p>
    <w:p w14:paraId="459FC059" w14:textId="77777777" w:rsidR="00A77B3E" w:rsidRDefault="004305D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proporcji wyliczonej w załączniku nr 1,</w:t>
      </w:r>
    </w:p>
    <w:p w14:paraId="1CA2F0DA" w14:textId="77777777" w:rsidR="00A77B3E" w:rsidRDefault="004305D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proporcji wyliczonej w załączniku nr 2</w:t>
      </w:r>
    </w:p>
    <w:p w14:paraId="31FE8F7F" w14:textId="77777777" w:rsidR="00A77B3E" w:rsidRDefault="004305D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53 % X  10 %</w:t>
      </w:r>
    </w:p>
    <w:p w14:paraId="0DD3CCBD" w14:textId="77777777" w:rsidR="00A77B3E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______________    =   5,3 %</w:t>
      </w:r>
    </w:p>
    <w:p w14:paraId="11621AB9" w14:textId="77777777" w:rsidR="00A77B3E" w:rsidRDefault="004305DE">
      <w:pPr>
        <w:spacing w:before="120" w:after="120"/>
        <w:ind w:firstLine="227"/>
        <w:jc w:val="center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100,00</w:t>
      </w:r>
    </w:p>
    <w:p w14:paraId="7BA7D730" w14:textId="77777777" w:rsidR="005360EA" w:rsidRDefault="005360EA">
      <w:pPr>
        <w:pStyle w:val="Normal0"/>
      </w:pPr>
    </w:p>
    <w:p w14:paraId="70F73E2D" w14:textId="77777777" w:rsidR="005360EA" w:rsidRDefault="004305DE">
      <w:pPr>
        <w:pStyle w:val="Normal0"/>
        <w:jc w:val="center"/>
      </w:pPr>
      <w:r>
        <w:rPr>
          <w:b/>
        </w:rPr>
        <w:t>Uzasadnienie</w:t>
      </w:r>
    </w:p>
    <w:p w14:paraId="58193A5C" w14:textId="77777777" w:rsidR="005360EA" w:rsidRDefault="004305DE">
      <w:pPr>
        <w:pStyle w:val="Normal0"/>
        <w:spacing w:before="120" w:after="120"/>
        <w:ind w:firstLine="227"/>
      </w:pPr>
      <w:r>
        <w:t>Ustawa o podatku od towarów i usług przewiduje możliwość obniżenia kwoty podatku należnego</w:t>
      </w:r>
      <w:r>
        <w:br/>
        <w:t>o kwotę podatku naliczonego, czyli możliwość obniżenia podatku VAT. Podatek od towarów i usług VAT można odliczyć, jeżeli jest  się zarejestrowanym  podatnikiem VAT oraz towary/usługi, od których można odliczyć VAT mają związek z wykonywanymi czynnościami opodatkowanymi.</w:t>
      </w:r>
    </w:p>
    <w:p w14:paraId="5AE0B88E" w14:textId="77777777" w:rsidR="005360EA" w:rsidRDefault="004305DE">
      <w:pPr>
        <w:pStyle w:val="Normal0"/>
        <w:spacing w:before="120" w:after="120"/>
        <w:ind w:firstLine="227"/>
      </w:pPr>
      <w:r>
        <w:tab/>
        <w:t>W związku z tym, że Gmina Miasto Elbląg prowadzi działalność o charakterze mieszanym</w:t>
      </w:r>
      <w:r>
        <w:br/>
        <w:t>(tj. czynności opodatkowane, zwolnione i poza zakresem VAT) zachodzi konieczność ustalenia wysokości</w:t>
      </w:r>
      <w:r>
        <w:br/>
        <w:t>tzw. prewspółczynnika i wskaźnika.</w:t>
      </w:r>
    </w:p>
    <w:p w14:paraId="7A151751" w14:textId="77777777" w:rsidR="005360EA" w:rsidRDefault="004305DE">
      <w:pPr>
        <w:pStyle w:val="Normal0"/>
        <w:spacing w:before="120" w:after="120"/>
        <w:ind w:firstLine="227"/>
      </w:pPr>
      <w:r>
        <w:tab/>
        <w:t>Na podstawie danych za rok 2019 ustalono przy zastosowaniu wskaźnika przychodowego, prognozowany na rok 2020 prewspółczynnik oraz wskaźnik struktury sprzedaży.</w:t>
      </w:r>
    </w:p>
    <w:sectPr w:rsidR="005360E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60EA"/>
    <w:rsid w:val="000F04B1"/>
    <w:rsid w:val="002B2CE2"/>
    <w:rsid w:val="004305DE"/>
    <w:rsid w:val="005360EA"/>
    <w:rsid w:val="00945B33"/>
    <w:rsid w:val="00A92B52"/>
    <w:rsid w:val="00BE7906"/>
    <w:rsid w:val="00EA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3E6E8"/>
  <w15:docId w15:val="{4A669996-2989-4257-9C62-B7C3CE48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wskaźnika struktury sprzedaży (WSS) oraz prewspółczynnika VAT do stosowania na rok 2020^dla Urzędu Miasta Elbląg</dc:subject>
  <dc:creator>agsuk</dc:creator>
  <cp:lastModifiedBy>Mirosława Markowska</cp:lastModifiedBy>
  <cp:revision>8</cp:revision>
  <dcterms:created xsi:type="dcterms:W3CDTF">2020-03-11T12:47:00Z</dcterms:created>
  <dcterms:modified xsi:type="dcterms:W3CDTF">2020-04-24T07:36:00Z</dcterms:modified>
  <cp:category>Akt prawny</cp:category>
</cp:coreProperties>
</file>