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153/2020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kwietnia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obciążenia nieruchomości gruntowych Gminy Miasto Elbląg służebnościami przesyłu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marca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506 ze zm.),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1964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Kodeks cywilny (t.j.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1145 ze zm.) oraz 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czas nieoznaczony, stanowiących załącznik do uchwały Nr XIV/265/2008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obciążania nieruchomości Gminy Miasto Elbląg oraz ich wydzierżawiania lub wynajmowania na czas oznaczony dłuższy niż trzy lata lub na czas nieoznaczony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Woj. Warmińsko – Mazurskiego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89,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1618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ze zm.), 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Postanawia się obciążyć nieruchomości gruntowe, stanowiące własność Gminy Miasto Elbląg,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zarządzenia, służebnością przesyłu na rzecz Energa - Operator SA Oddział w Olsztynie przy ul. Juliana Tuwima 6.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ustanowienia służebności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153/2020 z dnia 22 kwietnia 2020 r.</dc:title>
  <dc:subject>w sprawie obciążenia nieruchomości gruntowych Gminy Miasto Elbląg służebnościami przesyłu</dc:subject>
  <dc:creator>jodan</dc:creator>
  <cp:lastModifiedBy>jodan</cp:lastModifiedBy>
  <cp:revision>1</cp:revision>
  <dcterms:created xsi:type="dcterms:W3CDTF">2020-04-23T10:08:13Z</dcterms:created>
  <dcterms:modified xsi:type="dcterms:W3CDTF">2020-04-23T10:08:13Z</dcterms:modified>
  <cp:category>Akt prawny</cp:category>
</cp:coreProperties>
</file>