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6D8" w:rsidRPr="00AE78CA" w:rsidRDefault="00D57956" w:rsidP="00AE78CA">
      <w:pPr>
        <w:jc w:val="center"/>
        <w:rPr>
          <w:rFonts w:ascii="Tahoma" w:hAnsi="Tahoma" w:cs="Tahoma"/>
          <w:b/>
        </w:rPr>
      </w:pPr>
      <w:r w:rsidRPr="00AE78CA">
        <w:rPr>
          <w:rFonts w:ascii="Tahoma" w:hAnsi="Tahoma" w:cs="Tahoma"/>
          <w:b/>
        </w:rPr>
        <w:t xml:space="preserve">INFORMACJA W SPRAWIE </w:t>
      </w:r>
      <w:r w:rsidR="00AE78CA">
        <w:rPr>
          <w:rFonts w:ascii="Tahoma" w:hAnsi="Tahoma" w:cs="Tahoma"/>
          <w:b/>
        </w:rPr>
        <w:t xml:space="preserve">PRZEDŁUŻENIA ŚWIADCZEŃ UZALEŻNIONYCH </w:t>
      </w:r>
      <w:r w:rsidR="00AE78CA">
        <w:rPr>
          <w:rFonts w:ascii="Tahoma" w:hAnsi="Tahoma" w:cs="Tahoma"/>
          <w:b/>
        </w:rPr>
        <w:br/>
        <w:t xml:space="preserve">OD  </w:t>
      </w:r>
      <w:r w:rsidRPr="00AE78CA">
        <w:rPr>
          <w:rFonts w:ascii="Tahoma" w:hAnsi="Tahoma" w:cs="Tahoma"/>
          <w:b/>
        </w:rPr>
        <w:t>NIEPEŁNOSPRAWNOŚCI</w:t>
      </w:r>
      <w:r w:rsidR="00AE78CA">
        <w:rPr>
          <w:rFonts w:ascii="Tahoma" w:hAnsi="Tahoma" w:cs="Tahoma"/>
          <w:b/>
        </w:rPr>
        <w:t xml:space="preserve"> </w:t>
      </w:r>
    </w:p>
    <w:p w:rsidR="00AE78CA" w:rsidRPr="00AE78CA" w:rsidRDefault="00AE78CA" w:rsidP="00AE78CA">
      <w:pPr>
        <w:jc w:val="both"/>
        <w:rPr>
          <w:rFonts w:ascii="Tahoma" w:hAnsi="Tahoma" w:cs="Tahoma"/>
          <w:b/>
        </w:rPr>
      </w:pPr>
    </w:p>
    <w:p w:rsidR="00E932CC" w:rsidRPr="00E932CC" w:rsidRDefault="00AE78CA" w:rsidP="00AE78CA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i/>
          <w:lang w:eastAsia="pl-PL"/>
        </w:rPr>
      </w:pPr>
      <w:r w:rsidRPr="00AE78CA">
        <w:rPr>
          <w:rFonts w:ascii="Tahoma" w:eastAsia="Times New Roman" w:hAnsi="Tahoma" w:cs="Tahoma"/>
          <w:bCs/>
          <w:lang w:eastAsia="pl-PL"/>
        </w:rPr>
        <w:t xml:space="preserve">W przypadku </w:t>
      </w:r>
      <w:r>
        <w:rPr>
          <w:rFonts w:ascii="Tahoma" w:eastAsia="Times New Roman" w:hAnsi="Tahoma" w:cs="Tahoma"/>
          <w:bCs/>
          <w:lang w:eastAsia="pl-PL"/>
        </w:rPr>
        <w:t xml:space="preserve">posiadania </w:t>
      </w:r>
      <w:r w:rsidRPr="00AE78CA">
        <w:rPr>
          <w:rFonts w:ascii="Tahoma" w:eastAsia="Times New Roman" w:hAnsi="Tahoma" w:cs="Tahoma"/>
          <w:bCs/>
          <w:lang w:eastAsia="pl-PL"/>
        </w:rPr>
        <w:t xml:space="preserve"> </w:t>
      </w:r>
      <w:r>
        <w:rPr>
          <w:rFonts w:ascii="Tahoma" w:eastAsia="Times New Roman" w:hAnsi="Tahoma" w:cs="Tahoma"/>
          <w:lang w:eastAsia="pl-PL"/>
        </w:rPr>
        <w:t>orzeczenia</w:t>
      </w:r>
      <w:r w:rsidRPr="00AE78CA">
        <w:rPr>
          <w:rFonts w:ascii="Tahoma" w:eastAsia="Times New Roman" w:hAnsi="Tahoma" w:cs="Tahoma"/>
          <w:lang w:eastAsia="pl-PL"/>
        </w:rPr>
        <w:t xml:space="preserve"> o niepełnosprawności, stopniu niepełnosprawności</w:t>
      </w:r>
      <w:r>
        <w:rPr>
          <w:rFonts w:ascii="Tahoma" w:eastAsia="Times New Roman" w:hAnsi="Tahoma" w:cs="Tahoma"/>
          <w:lang w:eastAsia="pl-PL"/>
        </w:rPr>
        <w:t xml:space="preserve"> </w:t>
      </w:r>
      <w:r>
        <w:rPr>
          <w:rFonts w:ascii="Tahoma" w:eastAsia="Times New Roman" w:hAnsi="Tahoma" w:cs="Tahoma"/>
          <w:lang w:eastAsia="pl-PL"/>
        </w:rPr>
        <w:br/>
      </w:r>
      <w:r w:rsidR="0095370E">
        <w:rPr>
          <w:rFonts w:ascii="Tahoma" w:eastAsia="Times New Roman" w:hAnsi="Tahoma" w:cs="Tahoma"/>
          <w:lang w:eastAsia="pl-PL"/>
        </w:rPr>
        <w:t>lub inne</w:t>
      </w:r>
      <w:r w:rsidR="00E932CC">
        <w:rPr>
          <w:rFonts w:ascii="Tahoma" w:eastAsia="Times New Roman" w:hAnsi="Tahoma" w:cs="Tahoma"/>
          <w:lang w:eastAsia="pl-PL"/>
        </w:rPr>
        <w:t>go</w:t>
      </w:r>
      <w:r w:rsidR="0095370E">
        <w:rPr>
          <w:rFonts w:ascii="Tahoma" w:eastAsia="Times New Roman" w:hAnsi="Tahoma" w:cs="Tahoma"/>
          <w:lang w:eastAsia="pl-PL"/>
        </w:rPr>
        <w:t>, którego</w:t>
      </w:r>
      <w:r>
        <w:rPr>
          <w:rFonts w:ascii="Tahoma" w:eastAsia="Times New Roman" w:hAnsi="Tahoma" w:cs="Tahoma"/>
          <w:lang w:eastAsia="pl-PL"/>
        </w:rPr>
        <w:t xml:space="preserve"> termin </w:t>
      </w:r>
      <w:r w:rsidR="00E932CC">
        <w:rPr>
          <w:rFonts w:ascii="Tahoma" w:eastAsia="Times New Roman" w:hAnsi="Tahoma" w:cs="Tahoma"/>
          <w:lang w:eastAsia="pl-PL"/>
        </w:rPr>
        <w:t>obowiązywania</w:t>
      </w:r>
      <w:r>
        <w:rPr>
          <w:rFonts w:ascii="Tahoma" w:eastAsia="Times New Roman" w:hAnsi="Tahoma" w:cs="Tahoma"/>
          <w:lang w:eastAsia="pl-PL"/>
        </w:rPr>
        <w:t xml:space="preserve"> </w:t>
      </w:r>
      <w:r w:rsidRPr="00AE78CA">
        <w:rPr>
          <w:rFonts w:ascii="Tahoma" w:eastAsia="Times New Roman" w:hAnsi="Tahoma" w:cs="Tahoma"/>
          <w:lang w:eastAsia="pl-PL"/>
        </w:rPr>
        <w:t>upłynął po 8 grudnia 2019</w:t>
      </w:r>
      <w:r>
        <w:rPr>
          <w:rFonts w:ascii="Tahoma" w:eastAsia="Times New Roman" w:hAnsi="Tahoma" w:cs="Tahoma"/>
          <w:lang w:eastAsia="pl-PL"/>
        </w:rPr>
        <w:t xml:space="preserve"> r.</w:t>
      </w:r>
      <w:r w:rsidR="00E932CC">
        <w:rPr>
          <w:rFonts w:ascii="Tahoma" w:eastAsia="Times New Roman" w:hAnsi="Tahoma" w:cs="Tahoma"/>
          <w:lang w:eastAsia="pl-PL"/>
        </w:rPr>
        <w:t xml:space="preserve"> – ważność ich </w:t>
      </w:r>
      <w:r>
        <w:rPr>
          <w:rFonts w:ascii="Tahoma" w:eastAsia="Times New Roman" w:hAnsi="Tahoma" w:cs="Tahoma"/>
          <w:lang w:eastAsia="pl-PL"/>
        </w:rPr>
        <w:t xml:space="preserve">zostanie przedłużona </w:t>
      </w:r>
      <w:r w:rsidRPr="00E932CC">
        <w:rPr>
          <w:rFonts w:ascii="Tahoma" w:eastAsia="Times New Roman" w:hAnsi="Tahoma" w:cs="Tahoma"/>
          <w:i/>
          <w:lang w:eastAsia="pl-PL"/>
        </w:rPr>
        <w:t>(</w:t>
      </w:r>
      <w:r w:rsidR="00725153">
        <w:rPr>
          <w:rFonts w:ascii="Tahoma" w:eastAsia="Times New Roman" w:hAnsi="Tahoma" w:cs="Tahoma"/>
          <w:i/>
          <w:lang w:eastAsia="pl-PL"/>
        </w:rPr>
        <w:t>ustawa z dnia 31 marca 2020 r. o zmianie ustawy o szczególnych rozwiązaniach związanych z zapobieganiem</w:t>
      </w:r>
      <w:bookmarkStart w:id="0" w:name="_GoBack"/>
      <w:bookmarkEnd w:id="0"/>
      <w:r w:rsidR="00725153">
        <w:rPr>
          <w:rFonts w:ascii="Tahoma" w:eastAsia="Times New Roman" w:hAnsi="Tahoma" w:cs="Tahoma"/>
          <w:i/>
          <w:lang w:eastAsia="pl-PL"/>
        </w:rPr>
        <w:t xml:space="preserve">, </w:t>
      </w:r>
      <w:r w:rsidRPr="00E932CC">
        <w:rPr>
          <w:rFonts w:ascii="Tahoma" w:eastAsia="Times New Roman" w:hAnsi="Tahoma" w:cs="Tahoma"/>
          <w:i/>
          <w:lang w:eastAsia="pl-PL"/>
        </w:rPr>
        <w:t>przeciwdziałaniem i zwalczaniem COVID-19</w:t>
      </w:r>
      <w:r w:rsidR="00725153">
        <w:rPr>
          <w:rFonts w:ascii="Tahoma" w:eastAsia="Times New Roman" w:hAnsi="Tahoma" w:cs="Tahoma"/>
          <w:i/>
          <w:lang w:eastAsia="pl-PL"/>
        </w:rPr>
        <w:t xml:space="preserve">, innych chorób zakaźnych oraz wywołanych nimi sytuacji kryzysowych oraz niektórych innych ustaw – </w:t>
      </w:r>
      <w:r w:rsidR="00725153">
        <w:rPr>
          <w:rFonts w:ascii="Tahoma" w:eastAsia="Times New Roman" w:hAnsi="Tahoma" w:cs="Tahoma"/>
          <w:i/>
          <w:lang w:eastAsia="pl-PL"/>
        </w:rPr>
        <w:br/>
        <w:t>Dz. U. z 2020 r., poz. 568</w:t>
      </w:r>
      <w:r w:rsidRPr="00E932CC">
        <w:rPr>
          <w:rFonts w:ascii="Tahoma" w:eastAsia="Times New Roman" w:hAnsi="Tahoma" w:cs="Tahoma"/>
          <w:i/>
          <w:lang w:eastAsia="pl-PL"/>
        </w:rPr>
        <w:t>).</w:t>
      </w:r>
    </w:p>
    <w:p w:rsidR="00AE78CA" w:rsidRPr="00AE78CA" w:rsidRDefault="00AE78CA" w:rsidP="00AE78CA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AE78CA">
        <w:rPr>
          <w:rFonts w:ascii="Tahoma" w:eastAsia="Times New Roman" w:hAnsi="Tahoma" w:cs="Tahoma"/>
          <w:lang w:eastAsia="pl-PL"/>
        </w:rPr>
        <w:t xml:space="preserve">Przedłużenie ważności orzeczeń powoduje, że automatycznie wydłuża się prawo do świadczeń uzależnionych od niepełnosprawności, tj. zasiłku pielęgnacyjnego, świadczenia pielęgnacyjnego, specjalnego zasiłku opiekuńczego oraz dodatku do zasiłku rodzinnego </w:t>
      </w:r>
      <w:r>
        <w:rPr>
          <w:rFonts w:ascii="Tahoma" w:eastAsia="Times New Roman" w:hAnsi="Tahoma" w:cs="Tahoma"/>
          <w:lang w:eastAsia="pl-PL"/>
        </w:rPr>
        <w:br/>
      </w:r>
      <w:r w:rsidRPr="00AE78CA">
        <w:rPr>
          <w:rFonts w:ascii="Tahoma" w:eastAsia="Times New Roman" w:hAnsi="Tahoma" w:cs="Tahoma"/>
          <w:lang w:eastAsia="pl-PL"/>
        </w:rPr>
        <w:t>z tytułu kształcenia i rehabilitacji dziecka niepełnosprawnego oraz dodatku z tytułu samotnego wychowywania dziecka</w:t>
      </w:r>
      <w:r>
        <w:rPr>
          <w:rFonts w:ascii="Tahoma" w:eastAsia="Times New Roman" w:hAnsi="Tahoma" w:cs="Tahoma"/>
          <w:lang w:eastAsia="pl-PL"/>
        </w:rPr>
        <w:t>.</w:t>
      </w:r>
    </w:p>
    <w:p w:rsidR="00AE78CA" w:rsidRPr="00AE78CA" w:rsidRDefault="00AE78CA" w:rsidP="00AE78CA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AE78CA">
        <w:rPr>
          <w:rFonts w:ascii="Tahoma" w:eastAsia="Times New Roman" w:hAnsi="Tahoma" w:cs="Tahoma"/>
          <w:b/>
          <w:bCs/>
          <w:lang w:eastAsia="pl-PL"/>
        </w:rPr>
        <w:t xml:space="preserve">Orzeczenia o niepełnosprawności (lub stopniu niepełnosprawności), których ważność: </w:t>
      </w:r>
    </w:p>
    <w:p w:rsidR="00AE78CA" w:rsidRPr="00AE78CA" w:rsidRDefault="00AE78CA" w:rsidP="00AE78C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AE78CA">
        <w:rPr>
          <w:rFonts w:ascii="Tahoma" w:eastAsia="Times New Roman" w:hAnsi="Tahoma" w:cs="Tahoma"/>
          <w:b/>
          <w:bCs/>
          <w:lang w:eastAsia="pl-PL"/>
        </w:rPr>
        <w:t>upłynęła w okresie od 9 grudnia 2019</w:t>
      </w:r>
      <w:r>
        <w:rPr>
          <w:rFonts w:ascii="Tahoma" w:eastAsia="Times New Roman" w:hAnsi="Tahoma" w:cs="Tahoma"/>
          <w:b/>
          <w:bCs/>
          <w:lang w:eastAsia="pl-PL"/>
        </w:rPr>
        <w:t xml:space="preserve"> </w:t>
      </w:r>
      <w:r w:rsidRPr="00AE78CA">
        <w:rPr>
          <w:rFonts w:ascii="Tahoma" w:eastAsia="Times New Roman" w:hAnsi="Tahoma" w:cs="Tahoma"/>
          <w:b/>
          <w:bCs/>
          <w:lang w:eastAsia="pl-PL"/>
        </w:rPr>
        <w:t>r. do 7 marca 2020</w:t>
      </w:r>
      <w:r>
        <w:rPr>
          <w:rFonts w:ascii="Tahoma" w:eastAsia="Times New Roman" w:hAnsi="Tahoma" w:cs="Tahoma"/>
          <w:b/>
          <w:bCs/>
          <w:lang w:eastAsia="pl-PL"/>
        </w:rPr>
        <w:t xml:space="preserve"> </w:t>
      </w:r>
      <w:r w:rsidRPr="00AE78CA">
        <w:rPr>
          <w:rFonts w:ascii="Tahoma" w:eastAsia="Times New Roman" w:hAnsi="Tahoma" w:cs="Tahoma"/>
          <w:b/>
          <w:bCs/>
          <w:lang w:eastAsia="pl-PL"/>
        </w:rPr>
        <w:t xml:space="preserve">r. – </w:t>
      </w:r>
      <w:r w:rsidRPr="00AE78CA">
        <w:rPr>
          <w:rFonts w:ascii="Tahoma" w:eastAsia="Times New Roman" w:hAnsi="Tahoma" w:cs="Tahoma"/>
          <w:lang w:eastAsia="pl-PL"/>
        </w:rPr>
        <w:t xml:space="preserve">zachowuje ważność przez 60 dni  od momentu odwołania stanu zagrożenia epidemicznego </w:t>
      </w:r>
      <w:r>
        <w:rPr>
          <w:rFonts w:ascii="Tahoma" w:eastAsia="Times New Roman" w:hAnsi="Tahoma" w:cs="Tahoma"/>
          <w:lang w:eastAsia="pl-PL"/>
        </w:rPr>
        <w:br/>
      </w:r>
      <w:r w:rsidRPr="00AE78CA">
        <w:rPr>
          <w:rFonts w:ascii="Tahoma" w:eastAsia="Times New Roman" w:hAnsi="Tahoma" w:cs="Tahoma"/>
          <w:lang w:eastAsia="pl-PL"/>
        </w:rPr>
        <w:t xml:space="preserve">lub stanu epidemii, jednak nie dłużej, niż do dnia wydania nowego orzeczenie </w:t>
      </w:r>
      <w:r>
        <w:rPr>
          <w:rFonts w:ascii="Tahoma" w:eastAsia="Times New Roman" w:hAnsi="Tahoma" w:cs="Tahoma"/>
          <w:lang w:eastAsia="pl-PL"/>
        </w:rPr>
        <w:br/>
      </w:r>
      <w:r w:rsidRPr="00AE78CA">
        <w:rPr>
          <w:rFonts w:ascii="Tahoma" w:eastAsia="Times New Roman" w:hAnsi="Tahoma" w:cs="Tahoma"/>
          <w:lang w:eastAsia="pl-PL"/>
        </w:rPr>
        <w:t>(pod warunkiem złożenia do 7 marca kolejnego wniosku o wydanie orzeczenia),</w:t>
      </w:r>
    </w:p>
    <w:p w:rsidR="00AE78CA" w:rsidRPr="00AE78CA" w:rsidRDefault="00AE78CA" w:rsidP="00AE78C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AE78CA">
        <w:rPr>
          <w:rFonts w:ascii="Tahoma" w:eastAsia="Times New Roman" w:hAnsi="Tahoma" w:cs="Tahoma"/>
          <w:b/>
          <w:bCs/>
          <w:lang w:eastAsia="pl-PL"/>
        </w:rPr>
        <w:t xml:space="preserve">upłynęła w terminie od 8 marca 2020 r. – </w:t>
      </w:r>
      <w:r w:rsidRPr="00AE78CA">
        <w:rPr>
          <w:rFonts w:ascii="Tahoma" w:eastAsia="Times New Roman" w:hAnsi="Tahoma" w:cs="Tahoma"/>
          <w:lang w:eastAsia="pl-PL"/>
        </w:rPr>
        <w:t xml:space="preserve">zachowuje ważność przez 60 dni </w:t>
      </w:r>
      <w:r>
        <w:rPr>
          <w:rFonts w:ascii="Tahoma" w:eastAsia="Times New Roman" w:hAnsi="Tahoma" w:cs="Tahoma"/>
          <w:lang w:eastAsia="pl-PL"/>
        </w:rPr>
        <w:br/>
      </w:r>
      <w:r w:rsidRPr="00AE78CA">
        <w:rPr>
          <w:rFonts w:ascii="Tahoma" w:eastAsia="Times New Roman" w:hAnsi="Tahoma" w:cs="Tahoma"/>
          <w:lang w:eastAsia="pl-PL"/>
        </w:rPr>
        <w:t>od odwołania stanu zagrożenia epidemicznego lub stanu epidemii – nawet jeśli nie został złożony nowy wniosek – jednak nie dłużej, niż d</w:t>
      </w:r>
      <w:r w:rsidR="00E932CC">
        <w:rPr>
          <w:rFonts w:ascii="Tahoma" w:eastAsia="Times New Roman" w:hAnsi="Tahoma" w:cs="Tahoma"/>
          <w:lang w:eastAsia="pl-PL"/>
        </w:rPr>
        <w:t>o dnia wydania nowego orzeczenia.</w:t>
      </w:r>
    </w:p>
    <w:p w:rsidR="00AE78CA" w:rsidRPr="00AE78CA" w:rsidRDefault="00AE78CA" w:rsidP="00AE78CA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AE78CA">
        <w:rPr>
          <w:rFonts w:ascii="Tahoma" w:eastAsia="Times New Roman" w:hAnsi="Tahoma" w:cs="Tahoma"/>
          <w:b/>
          <w:bCs/>
          <w:lang w:eastAsia="pl-PL"/>
        </w:rPr>
        <w:t>Orzeczenia o całkowitej niezdolności do pracy oraz niezdolności do samodzielnej egzystencji</w:t>
      </w:r>
      <w:r w:rsidRPr="00AE78CA">
        <w:rPr>
          <w:rFonts w:ascii="Tahoma" w:eastAsia="Times New Roman" w:hAnsi="Tahoma" w:cs="Tahoma"/>
          <w:lang w:eastAsia="pl-PL"/>
        </w:rPr>
        <w:t xml:space="preserve"> wydane przez Zakład Ubezpieczeń Społecznych, Kasę Rolniczego Ubezpieczenia Społecznego lub inne organy </w:t>
      </w:r>
      <w:proofErr w:type="spellStart"/>
      <w:r w:rsidRPr="00AE78CA">
        <w:rPr>
          <w:rFonts w:ascii="Tahoma" w:eastAsia="Times New Roman" w:hAnsi="Tahoma" w:cs="Tahoma"/>
          <w:lang w:eastAsia="pl-PL"/>
        </w:rPr>
        <w:t>emerytalno</w:t>
      </w:r>
      <w:proofErr w:type="spellEnd"/>
      <w:r w:rsidRPr="00AE78CA">
        <w:rPr>
          <w:rFonts w:ascii="Tahoma" w:eastAsia="Times New Roman" w:hAnsi="Tahoma" w:cs="Tahoma"/>
          <w:lang w:eastAsia="pl-PL"/>
        </w:rPr>
        <w:t xml:space="preserve"> – rentowe, których ważność upływa w okresie obowiązywania stanu zagrożenia epidemicznego albo stanu epidemii, będą przedłużone </w:t>
      </w:r>
      <w:r>
        <w:rPr>
          <w:rFonts w:ascii="Tahoma" w:eastAsia="Times New Roman" w:hAnsi="Tahoma" w:cs="Tahoma"/>
          <w:lang w:eastAsia="pl-PL"/>
        </w:rPr>
        <w:br/>
      </w:r>
      <w:r w:rsidRPr="00AE78CA">
        <w:rPr>
          <w:rFonts w:ascii="Tahoma" w:eastAsia="Times New Roman" w:hAnsi="Tahoma" w:cs="Tahoma"/>
          <w:lang w:eastAsia="pl-PL"/>
        </w:rPr>
        <w:t xml:space="preserve">o kolejne trzy miesiące. Jeżeli orzeczenie wygasło przed 14 marca, to takie orzeczenie również będzie wydłużone o kolejne 3 miesiące. </w:t>
      </w:r>
    </w:p>
    <w:p w:rsidR="00AE78CA" w:rsidRDefault="00AE78CA" w:rsidP="00AE78CA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AE78CA">
        <w:rPr>
          <w:rFonts w:ascii="Tahoma" w:eastAsia="Times New Roman" w:hAnsi="Tahoma" w:cs="Tahoma"/>
          <w:lang w:eastAsia="pl-PL"/>
        </w:rPr>
        <w:t>Przedłużenie prawa do świadczeń nie będzie wymagało złożenia nowego wniosku,</w:t>
      </w:r>
      <w:r>
        <w:rPr>
          <w:rFonts w:ascii="Tahoma" w:eastAsia="Times New Roman" w:hAnsi="Tahoma" w:cs="Tahoma"/>
          <w:lang w:eastAsia="pl-PL"/>
        </w:rPr>
        <w:t xml:space="preserve"> postępowanie będzie prowadzone z urzędu.</w:t>
      </w:r>
      <w:r w:rsidRPr="00AE78CA">
        <w:rPr>
          <w:rFonts w:ascii="Tahoma" w:eastAsia="Times New Roman" w:hAnsi="Tahoma" w:cs="Tahoma"/>
          <w:lang w:eastAsia="pl-PL"/>
        </w:rPr>
        <w:t xml:space="preserve"> </w:t>
      </w:r>
    </w:p>
    <w:p w:rsidR="00D57956" w:rsidRDefault="00AE78CA" w:rsidP="0095370E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Departament Świadczeń Rodzinnych Urzędu Miejskiego w Elblągu będzie musiał</w:t>
      </w:r>
      <w:r w:rsidRPr="00AE78CA">
        <w:rPr>
          <w:rFonts w:ascii="Tahoma" w:eastAsia="Times New Roman" w:hAnsi="Tahoma" w:cs="Tahoma"/>
          <w:lang w:eastAsia="pl-PL"/>
        </w:rPr>
        <w:t xml:space="preserve"> potwierdzić, czy świadczeniobiorca spełnia warunki do kontynuacji świadczeń. Większość danych </w:t>
      </w:r>
      <w:r w:rsidR="0095370E">
        <w:rPr>
          <w:rFonts w:ascii="Tahoma" w:eastAsia="Times New Roman" w:hAnsi="Tahoma" w:cs="Tahoma"/>
          <w:lang w:eastAsia="pl-PL"/>
        </w:rPr>
        <w:t>Departament Świadczeń Rodzinnych pozyska sam</w:t>
      </w:r>
      <w:r w:rsidRPr="00AE78CA">
        <w:rPr>
          <w:rFonts w:ascii="Tahoma" w:eastAsia="Times New Roman" w:hAnsi="Tahoma" w:cs="Tahoma"/>
          <w:lang w:eastAsia="pl-PL"/>
        </w:rPr>
        <w:t xml:space="preserve"> z dostępnych systemów. W przypadku konieczności uzyskania jakichkolwiek wyjaśni</w:t>
      </w:r>
      <w:r w:rsidR="0095370E">
        <w:rPr>
          <w:rFonts w:ascii="Tahoma" w:eastAsia="Times New Roman" w:hAnsi="Tahoma" w:cs="Tahoma"/>
          <w:lang w:eastAsia="pl-PL"/>
        </w:rPr>
        <w:t xml:space="preserve">eń, będziemy kontaktowali się </w:t>
      </w:r>
      <w:r w:rsidR="0095370E">
        <w:rPr>
          <w:rFonts w:ascii="Tahoma" w:eastAsia="Times New Roman" w:hAnsi="Tahoma" w:cs="Tahoma"/>
          <w:lang w:eastAsia="pl-PL"/>
        </w:rPr>
        <w:br/>
        <w:t xml:space="preserve">z </w:t>
      </w:r>
      <w:r w:rsidRPr="00AE78CA">
        <w:rPr>
          <w:rFonts w:ascii="Tahoma" w:eastAsia="Times New Roman" w:hAnsi="Tahoma" w:cs="Tahoma"/>
          <w:lang w:eastAsia="pl-PL"/>
        </w:rPr>
        <w:t>zainteresowanymi telefoniczne lub za pośrednictwem poczty elektronicznej.</w:t>
      </w:r>
    </w:p>
    <w:p w:rsidR="0095370E" w:rsidRPr="0095370E" w:rsidRDefault="0095370E" w:rsidP="0095370E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</w:p>
    <w:sectPr w:rsidR="0095370E" w:rsidRPr="00953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17A24"/>
    <w:multiLevelType w:val="hybridMultilevel"/>
    <w:tmpl w:val="25325A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068E0"/>
    <w:multiLevelType w:val="multilevel"/>
    <w:tmpl w:val="42CC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116DD4"/>
    <w:multiLevelType w:val="multilevel"/>
    <w:tmpl w:val="50E82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956"/>
    <w:rsid w:val="006A646F"/>
    <w:rsid w:val="00725153"/>
    <w:rsid w:val="0095370E"/>
    <w:rsid w:val="009626D8"/>
    <w:rsid w:val="00AE78CA"/>
    <w:rsid w:val="00D57956"/>
    <w:rsid w:val="00E932CC"/>
    <w:rsid w:val="00EC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2CC0A3-5BE1-43CD-8A3A-CC1F3B1F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956"/>
  </w:style>
  <w:style w:type="paragraph" w:styleId="Nagwek2">
    <w:name w:val="heading 2"/>
    <w:basedOn w:val="Normalny"/>
    <w:link w:val="Nagwek2Znak"/>
    <w:uiPriority w:val="9"/>
    <w:qFormat/>
    <w:rsid w:val="00AE78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D57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E78C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E7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ed-on-text">
    <w:name w:val="posted-on-text"/>
    <w:basedOn w:val="Domylnaczcionkaakapitu"/>
    <w:rsid w:val="00AE78CA"/>
  </w:style>
  <w:style w:type="character" w:customStyle="1" w:styleId="posted-on">
    <w:name w:val="posted-on"/>
    <w:basedOn w:val="Domylnaczcionkaakapitu"/>
    <w:rsid w:val="00AE78CA"/>
  </w:style>
  <w:style w:type="character" w:customStyle="1" w:styleId="byline">
    <w:name w:val="byline"/>
    <w:basedOn w:val="Domylnaczcionkaakapitu"/>
    <w:rsid w:val="00AE78CA"/>
  </w:style>
  <w:style w:type="character" w:customStyle="1" w:styleId="author">
    <w:name w:val="author"/>
    <w:basedOn w:val="Domylnaczcionkaakapitu"/>
    <w:rsid w:val="00AE78CA"/>
  </w:style>
  <w:style w:type="character" w:styleId="Hipercze">
    <w:name w:val="Hyperlink"/>
    <w:basedOn w:val="Domylnaczcionkaakapitu"/>
    <w:uiPriority w:val="99"/>
    <w:semiHidden/>
    <w:unhideWhenUsed/>
    <w:rsid w:val="00AE78CA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78C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7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440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3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8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892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Buława</dc:creator>
  <cp:keywords/>
  <dc:description/>
  <cp:lastModifiedBy>Elżbieta Buława</cp:lastModifiedBy>
  <cp:revision>4</cp:revision>
  <cp:lastPrinted>2020-04-10T08:30:00Z</cp:lastPrinted>
  <dcterms:created xsi:type="dcterms:W3CDTF">2020-04-06T09:23:00Z</dcterms:created>
  <dcterms:modified xsi:type="dcterms:W3CDTF">2020-04-10T08:38:00Z</dcterms:modified>
</cp:coreProperties>
</file>