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marca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 r. poz. 506 ze zm.)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2020 r. poz. 65 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 - Biernacka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czwartego ustnego przetargu nieograniczonego na sprzedaż nieruchomości gruntowych, stanowiących własność Gminy Miasto Elbląg, położonych w Elblągu przy ul. Lotniczej, oznaczonych w ewidencji gruntów i budynków w obr. 22 jako działki: nr 94/4 o pow. 0,0658  ha oraz nr 94/2 o pow. 0,0163 ha (udział do 1/2 części);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gruntowej, stanowiącej własność Gminy Miasto Elbląg, położonej w Elblągu przy ul. Antoniego Czuchnowskiego, oznaczonej w ewidencji gruntów i budynków w obr. 2 jako działka nr 58/1 o pow. 1,0088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nieruchomości,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Malborskiej,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działka nr 142/4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0,8721 ha i przy ul. Romualda Mielczarskiego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 działki: nr 144/7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0,3553 ha, nr 144/8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0,0249 ha i nr 144/9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0,2924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lokalowej, stanowiącej własność Gminy Miasto Elbląg, położonej w Elblągu przy ul. 1Maja 1, oznaczonej w ewidencji gruntów i budynków w obr. 15 jako działka nr 185/1 o pow. 0,0520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128/2020 z dnia 25 marca 2020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2020-03-26T09:56:32Z</dcterms:created>
  <dcterms:modified xsi:type="dcterms:W3CDTF">2020-03-26T09:56:32Z</dcterms:modified>
  <cp:category>Akt prawny</cp:category>
</cp:coreProperties>
</file>