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16/2020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160" w:after="16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17 stycznia 2020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powołania komisji przetargowej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do przeprowadzenia przetargu na zbycie nieruchomości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 dnia 8 marca 1990 r. o samorządzie gminnym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 2019 r. poz. 506 ze zm.) i 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 dnia 21 sierpnia 1997 r. o gospodarce nieruchomościami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 2018 r. poz. 2204 ze zm. ) oraz ) oraz §8 ust 2. Rozporządzenia Rady Ministrów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2004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sposobu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trybu przeprowadzania przetargów oraz rokowań na zbycie nieruchomości (t.j. 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poz.1490) zarządza się, co następuje: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2"/>
          <w:u w:val="none"/>
          <w:vertAlign w:val="baseli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Powołuje się komisję przetargową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składzie: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Sławomir Skorupa - Przewodniczący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Beata Kunc - Wiceprzewodniczący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Aleksandra Kłos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Katarzyna Zaborowska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Joanna Danilewicz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Sylwia Przystasz - Biernacka - Członek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Celem komisji jest przeprowadzenie: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pierwszego ustnego przetargu nieograniczonego na sprzedaż nieruchomości gruntowej stanowiącej własność Gminy Miasto Elbląg, położonej w Elblągu Modrzewina Południe, oznaczonej w ewidencji gruntów i budynków w obr. 27 jako działka nr 833/2 o pow. 0,3958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pierwszego ustnego przetargu ograniczonego na sprzedaż nieruchomości gruntowej stanowiącej własność Gminy Miasto Elbląg, położonej w Elblągu przy ul. Bolesława Chrobrego, oznaczonej w ewidencji gruntów i budynków w obr. 18 jako działka nr 180/8 o pow. 0,0503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pierwszego ustnego przetargu nieograniczonego na sprzedaż nieruchomości gruntowej stanowiącej własność Gminy Miasto Elbląg, położonej w Elblągu przy ul. Jana Kilińskiego 50, oznaczonej w ewidencji gruntów i budynków w obr. 22 jako działka nr 18/5 o pow. 0,3764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pierwszego ustnego przetargu nieograniczonego na sprzedaż nieruchomości gruntowej stanowiącej własność Gminy Miasto Elbląg, położonej w Elblągu przy ul. Romualda Traugutta, oznaczonej w ewidencji gruntów i budynków w obr. 9 jako działka nr 395/32 o pow. 0,2240 ha.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przypadku nieobecności Przewodniczącego, zastępuje go Wiceprzewodniczący.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sectPr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16/2020 z dnia 17 stycznia 2020 r.</dc:title>
  <dc:subject>w sprawie powołania komisji przetargowej
do przeprowadzenia przetargu na zbycie nieruchomości</dc:subject>
  <dc:creator>kazab</dc:creator>
  <cp:lastModifiedBy>kazab</cp:lastModifiedBy>
  <cp:revision>1</cp:revision>
  <dcterms:created xsi:type="dcterms:W3CDTF">2020-01-20T08:58:07Z</dcterms:created>
  <dcterms:modified xsi:type="dcterms:W3CDTF">2020-01-20T08:58:07Z</dcterms:modified>
  <cp:category>Akt prawny</cp:category>
</cp:coreProperties>
</file>