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B25DF">
      <w:pPr>
        <w:jc w:val="center"/>
        <w:rPr>
          <w:b/>
          <w:caps/>
        </w:rPr>
      </w:pPr>
      <w:r>
        <w:rPr>
          <w:b/>
          <w:caps/>
        </w:rPr>
        <w:t>Zarządzenie Nr 413/</w:t>
      </w:r>
      <w:r>
        <w:rPr>
          <w:b/>
          <w:caps/>
        </w:rPr>
        <w:t>2019</w:t>
      </w:r>
      <w:r>
        <w:rPr>
          <w:b/>
          <w:caps/>
        </w:rPr>
        <w:br/>
        <w:t>Prezydenta Miasta Elbląg</w:t>
      </w:r>
    </w:p>
    <w:p w:rsidR="00A77B3E" w:rsidRDefault="009B25DF">
      <w:pPr>
        <w:spacing w:before="280" w:after="280"/>
        <w:jc w:val="center"/>
        <w:rPr>
          <w:b/>
          <w:caps/>
        </w:rPr>
      </w:pPr>
      <w:r>
        <w:t>z dnia 9 września</w:t>
      </w:r>
      <w:r>
        <w:t> 2019 r.</w:t>
      </w:r>
    </w:p>
    <w:p w:rsidR="00A77B3E" w:rsidRDefault="009B25DF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9B25DF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</w:t>
      </w:r>
      <w:r>
        <w:rPr>
          <w:sz w:val="24"/>
        </w:rPr>
        <w:t>1997 r. o gospodarce nieruchomościami (t.j. Dz.U. z 2018 r. poz. 2204 ze zm.)</w:t>
      </w:r>
    </w:p>
    <w:p w:rsidR="00A77B3E" w:rsidRDefault="009B25D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B25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9B25D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9B25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9B25D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</w:t>
      </w:r>
      <w:r>
        <w:rPr>
          <w:color w:val="000000"/>
          <w:u w:color="000000"/>
        </w:rPr>
        <w:t>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9B25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</w:t>
      </w:r>
      <w:r>
        <w:rPr>
          <w:b/>
        </w:rPr>
        <w:t> </w:t>
      </w:r>
      <w:r>
        <w:rPr>
          <w:color w:val="000000"/>
          <w:u w:color="000000"/>
        </w:rPr>
        <w:t>W załączniku Nr 1 do Zarządzenia Nr 231/2018 Prezydenta Miasta Elbląg z dnia 6 lipca 2018 r. w sprawie sporządzenia i ogłoszenia wykazu nieruchomości przeznaczonych do zbycia, skreśla się poz. 1.</w:t>
      </w:r>
    </w:p>
    <w:p w:rsidR="00A77B3E" w:rsidRDefault="009B25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Wykonanie zarządzenia powierza się Dyrektorowi </w:t>
      </w:r>
      <w:r>
        <w:rPr>
          <w:color w:val="000000"/>
          <w:u w:color="000000"/>
        </w:rPr>
        <w:t>Departamentu Gospodarki Nieruchomościami i Geodezji.</w:t>
      </w:r>
    </w:p>
    <w:p w:rsidR="00A77B3E" w:rsidRDefault="009B25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9B25DF" w:rsidRDefault="009B25DF">
      <w:pPr>
        <w:keepLines/>
        <w:spacing w:before="120" w:after="120"/>
        <w:rPr>
          <w:color w:val="000000"/>
          <w:u w:color="000000"/>
        </w:rPr>
        <w:sectPr w:rsidR="009B25D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9B25DF">
      <w:pPr>
        <w:keepNext/>
        <w:spacing w:before="120"/>
        <w:ind w:left="992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413/</w:t>
      </w:r>
      <w:r>
        <w:rPr>
          <w:color w:val="000000"/>
          <w:u w:color="000000"/>
        </w:rPr>
        <w:t>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9 września </w:t>
      </w:r>
      <w:bookmarkStart w:id="0" w:name="_GoBack"/>
      <w:bookmarkEnd w:id="0"/>
      <w:r>
        <w:rPr>
          <w:color w:val="000000"/>
          <w:u w:color="000000"/>
        </w:rPr>
        <w:t>2019 r.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p w:rsidR="00A77B3E" w:rsidRDefault="009B25D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</w:t>
      </w:r>
      <w:r>
        <w:rPr>
          <w:b/>
          <w:color w:val="000000"/>
          <w:u w:color="000000"/>
        </w:rPr>
        <w:t xml:space="preserve">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141"/>
        <w:gridCol w:w="1066"/>
        <w:gridCol w:w="1066"/>
        <w:gridCol w:w="3888"/>
        <w:gridCol w:w="1201"/>
        <w:gridCol w:w="1937"/>
        <w:gridCol w:w="420"/>
      </w:tblGrid>
      <w:tr w:rsidR="00A47221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</w:t>
            </w:r>
          </w:p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nieruchomości*</w:t>
            </w:r>
            <w:r>
              <w:rPr>
                <w:color w:val="000000"/>
                <w:u w:color="000000"/>
              </w:rPr>
              <w:t> </w:t>
            </w:r>
          </w:p>
        </w:tc>
      </w:tr>
      <w:tr w:rsidR="00A47221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</w:p>
        </w:tc>
      </w:tr>
      <w:tr w:rsidR="00A47221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A47221">
        <w:trPr>
          <w:trHeight w:val="69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t>Modrzewina Południe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t>56212/9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t>833/2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t>0,3958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left"/>
              <w:rPr>
                <w:color w:val="000000"/>
                <w:u w:color="000000"/>
              </w:rPr>
            </w:pPr>
          </w:p>
          <w:p w:rsidR="00A47221" w:rsidRDefault="009B25DF">
            <w:pPr>
              <w:jc w:val="center"/>
            </w:pPr>
            <w:r>
              <w:rPr>
                <w:sz w:val="20"/>
              </w:rPr>
              <w:t xml:space="preserve">Nieruchomość niezabudowana przeznaczenie w 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>: tereny obiektów produkcyjnych, składów i magazynów i/lub zabudowy usługowej</w:t>
            </w:r>
          </w:p>
          <w:p w:rsidR="00A47221" w:rsidRDefault="00A47221">
            <w:pPr>
              <w:jc w:val="left"/>
            </w:pP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184.680 zł</w:t>
            </w:r>
          </w:p>
        </w:tc>
      </w:tr>
      <w:tr w:rsidR="00A47221">
        <w:trPr>
          <w:trHeight w:val="52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B25D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A47221" w:rsidRDefault="009B25DF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A47221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B25DF">
            <w:pPr>
              <w:jc w:val="left"/>
              <w:rPr>
                <w:color w:val="000000"/>
                <w:u w:color="000000"/>
              </w:rPr>
            </w:pPr>
          </w:p>
          <w:p w:rsidR="00A77B3E" w:rsidRDefault="009B25D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* Osoby, o których mowa w art.34 ust.1 ustawy</w:t>
            </w:r>
            <w:r>
              <w:rPr>
                <w:color w:val="000000"/>
                <w:sz w:val="18"/>
                <w:u w:color="000000"/>
              </w:rPr>
              <w:t xml:space="preserve"> o gospodarce nieruchomościami nabywają nieruchomość za cenę określoną na podstawie art.67 ust.3 ustawy o gospodarce nieruchomościami. </w:t>
            </w:r>
          </w:p>
          <w:p w:rsidR="00A77B3E" w:rsidRDefault="009B25DF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</w:t>
            </w:r>
            <w:r>
              <w:rPr>
                <w:color w:val="000000"/>
                <w:sz w:val="18"/>
                <w:u w:color="000000"/>
              </w:rPr>
              <w:t>cie nieruchomości z mocy ustawy o gospodarce nieruchomościami lub odrębnych przepisów, jeżeli złożą wniosek o nabycie przed upływem terminu określonego w wykazie: termin złożenia wniosku nie może być krótszy niż 6 tygodni, licząc od dnia wywieszenia wykazu</w:t>
            </w:r>
            <w:r>
              <w:rPr>
                <w:color w:val="000000"/>
                <w:sz w:val="18"/>
                <w:u w:color="000000"/>
              </w:rPr>
              <w:t>.</w:t>
            </w:r>
          </w:p>
        </w:tc>
      </w:tr>
      <w:tr w:rsidR="00A47221">
        <w:trPr>
          <w:gridAfter w:val="1"/>
          <w:wAfter w:w="420" w:type="dxa"/>
          <w:trHeight w:val="465"/>
        </w:trPr>
        <w:tc>
          <w:tcPr>
            <w:tcW w:w="1435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B25DF">
            <w:pPr>
              <w:jc w:val="left"/>
              <w:rPr>
                <w:color w:val="000000"/>
                <w:u w:color="000000"/>
              </w:rPr>
            </w:pPr>
          </w:p>
        </w:tc>
      </w:tr>
      <w:tr w:rsidR="00A47221">
        <w:trPr>
          <w:gridAfter w:val="1"/>
          <w:wAfter w:w="420" w:type="dxa"/>
          <w:trHeight w:val="465"/>
        </w:trPr>
        <w:tc>
          <w:tcPr>
            <w:tcW w:w="1435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B25D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9B25DF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221"/>
    <w:rsid w:val="009B25DF"/>
    <w:rsid w:val="00A4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2157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........../2019</vt:lpstr>
      <vt:lpstr/>
    </vt:vector>
  </TitlesOfParts>
  <Company>Prezydent Miasta Elbląg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........../2019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2019-09-18T06:46:00Z</dcterms:created>
  <dcterms:modified xsi:type="dcterms:W3CDTF">2019-09-18T06:46:00Z</dcterms:modified>
  <cp:category>Akt prawny</cp:category>
</cp:coreProperties>
</file>