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319/2019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lipca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319/2019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10 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Mazurska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38268/4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32/21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Nieruchomość zabudowana fragmentem budynku posadowionego na dz. nr 46 i nr 45.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zbywana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trybie 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ust.2 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2.189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319/2019 z dnia 10 lipca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2019-07-11T09:37:30Z</dcterms:created>
  <dcterms:modified xsi:type="dcterms:W3CDTF">2019-07-11T09:37:30Z</dcterms:modified>
  <cp:category>Akt prawny</cp:category>
</cp:coreProperties>
</file>