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318/2019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lipca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Uchyla się: poz. 1 Załącznika Nr 1 do Zarządzenia Nr 436/2009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 grudnia 2009 r., Zarządzenie Nr 462/2012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8 października 2012 r., poz. 1÷4 Załącznika Nr 1 do Zarządzenia Nr 395/2014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8 sierpnia 2014 r. w sprawie sporządzenia i ogłoszenia wykazu nieruchomości przeznaczonych do zbycia.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318/2019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10 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141"/>
        <w:gridCol w:w="1066"/>
        <w:gridCol w:w="1066"/>
        <w:gridCol w:w="3888"/>
        <w:gridCol w:w="1201"/>
        <w:gridCol w:w="23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Mazurska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34238/7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161/2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0,0354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Działki niezabudowane, przeznaczone w  mpzp pod zabudowę produkcyjną , składów i magazynów oraz zabudowę  usługową.</w:t>
            </w:r>
          </w:p>
          <w:p>
            <w:pPr>
              <w:jc w:val="center"/>
            </w:pPr>
            <w:r>
              <w:rPr>
                <w:sz w:val="20"/>
              </w:rPr>
              <w:t>Przeznaczone do zbycia pod urządzenie drogi dojazdowej.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19.475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3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161/3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0,0251</w:t>
            </w: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Mazurska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33116/9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162/2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0,1278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Działki niezabudowane, przeznaczona w mpzp pod zabudowę produkcyjną , składów i magazynów oraz zabudowę  usługową.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244.308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0,1189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164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0,1320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Mazurska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38268/4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32/16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0,0783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Działki niezabudowane, przeznaczone w  mpzp  jako tereny zabudowy usługowo -przemysłowej, położone w granicach portu morskiego.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77.063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32/22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0,0414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Mazurska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71118/1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27/15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0,0579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Działki niezabudowane, przeznaczone w  mpzp  jako tereny zabudowy usługowo -przemysłowej, położone w granicach portu morskiego.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65.153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27/16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0,0433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31"/>
        <w:gridCol w:w="1171"/>
        <w:gridCol w:w="976"/>
        <w:gridCol w:w="1066"/>
        <w:gridCol w:w="3903"/>
        <w:gridCol w:w="1201"/>
        <w:gridCol w:w="23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7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Żeglarska 36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66310/9</w:t>
            </w:r>
          </w:p>
        </w:tc>
        <w:tc>
          <w:tcPr>
            <w:tcW w:w="11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459/1</w:t>
            </w:r>
          </w:p>
        </w:tc>
        <w:tc>
          <w:tcPr>
            <w:tcW w:w="97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0,1070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Lokal mieszkalny nr. 3 o pow. 24,1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wraz z przynależną piwnicą o pow. 8,8m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. </w:t>
            </w:r>
          </w:p>
          <w:p>
            <w:pPr>
              <w:jc w:val="center"/>
            </w:pPr>
            <w:r>
              <w:rPr>
                <w:sz w:val="20"/>
              </w:rPr>
              <w:t>Z lokalem związany jest udział 0,050 w częściach wspólnych i niepodzielnych oraz w prawie własności gruntu.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8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29.700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40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7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2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Strumykowa 48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41632/1</w:t>
            </w:r>
          </w:p>
        </w:tc>
        <w:tc>
          <w:tcPr>
            <w:tcW w:w="11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141</w:t>
            </w:r>
          </w:p>
        </w:tc>
        <w:tc>
          <w:tcPr>
            <w:tcW w:w="97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0,2201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Lokal mieszkalny nr. 3 o pow. 56,6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wraz z przynależną piwnicą o pow. 5,3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oraz komórką gospodarcza o pow. 12,6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. </w:t>
            </w:r>
          </w:p>
          <w:p>
            <w:pPr>
              <w:jc w:val="center"/>
            </w:pPr>
            <w:r>
              <w:rPr>
                <w:sz w:val="20"/>
              </w:rPr>
              <w:t>Z lokalem związany jest udział 0,17 w częściach wspólnych i niepodzielnych oraz w prawie własności gruntu.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8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72.000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70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7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367"/>
        <w:gridCol w:w="4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318/2019 z dnia 10 lipca 2019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2019-07-11T09:36:02Z</dcterms:created>
  <dcterms:modified xsi:type="dcterms:W3CDTF">2019-07-11T09:36:02Z</dcterms:modified>
  <cp:category>Akt prawny</cp:category>
</cp:coreProperties>
</file>