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17.3.0.0 -->
  <w:body>
    <w:p w:rsidR="00A77B3E">
      <w:pPr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/>
          <w:caps/>
          <w:sz w:val="22"/>
        </w:rPr>
        <w:t>Zarządzenie</w:t>
      </w:r>
      <w:r>
        <w:rPr>
          <w:rFonts w:ascii="Times New Roman" w:eastAsia="Times New Roman" w:hAnsi="Times New Roman" w:cs="Times New Roman"/>
          <w:b/>
          <w:caps/>
          <w:sz w:val="22"/>
        </w:rPr>
        <w:t xml:space="preserve"> Nr 305/2019</w:t>
      </w:r>
      <w:r>
        <w:rPr>
          <w:rFonts w:ascii="Times New Roman" w:eastAsia="Times New Roman" w:hAnsi="Times New Roman" w:cs="Times New Roman"/>
          <w:b/>
          <w:caps/>
          <w:sz w:val="22"/>
        </w:rPr>
        <w:br/>
      </w:r>
      <w:r>
        <w:rPr>
          <w:rFonts w:ascii="Times New Roman" w:eastAsia="Times New Roman" w:hAnsi="Times New Roman" w:cs="Times New Roman"/>
          <w:b/>
          <w:caps/>
          <w:sz w:val="22"/>
        </w:rPr>
        <w:t>Prezydenta Miasta Elbląg</w:t>
      </w:r>
    </w:p>
    <w:p w:rsidR="00A77B3E">
      <w:pPr>
        <w:spacing w:before="280" w:after="280"/>
        <w:ind w:left="0"/>
        <w:jc w:val="center"/>
        <w:rPr>
          <w:rFonts w:ascii="Times New Roman" w:eastAsia="Times New Roman" w:hAnsi="Times New Roman" w:cs="Times New Roman"/>
          <w:b/>
          <w:caps/>
          <w:sz w:val="22"/>
        </w:rPr>
      </w:pPr>
      <w:r>
        <w:rPr>
          <w:rFonts w:ascii="Times New Roman" w:eastAsia="Times New Roman" w:hAnsi="Times New Roman" w:cs="Times New Roman"/>
          <w:b w:val="0"/>
          <w:caps w:val="0"/>
          <w:sz w:val="22"/>
        </w:rPr>
        <w:t>z dnia 8 lipca 2019 r.</w:t>
      </w:r>
    </w:p>
    <w:p w:rsidR="00A77B3E">
      <w:pPr>
        <w:keepNext/>
        <w:spacing w:before="0" w:after="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z w:val="22"/>
        </w:rPr>
        <w:t>w sprawie sporządzenia i ogłoszenia wykazu nieruchomości</w:t>
      </w:r>
      <w:r>
        <w:rPr>
          <w:rFonts w:ascii="Times New Roman" w:eastAsia="Times New Roman" w:hAnsi="Times New Roman" w:cs="Times New Roman"/>
          <w:b/>
          <w:caps w:val="0"/>
          <w:sz w:val="22"/>
        </w:rPr>
        <w:br/>
      </w:r>
      <w:r>
        <w:rPr>
          <w:rFonts w:ascii="Times New Roman" w:eastAsia="Times New Roman" w:hAnsi="Times New Roman" w:cs="Times New Roman"/>
          <w:b/>
          <w:caps w:val="0"/>
          <w:sz w:val="22"/>
        </w:rPr>
        <w:t>przeznaczonych do sprzedaży na rzecz użytkowników wieczystych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Na podstawie art.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35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i 2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ustawy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dnia 21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sierpnia 1997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o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gospodarce nieruchomościami (t.j.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Dz.U. z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2018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r. poz.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2204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 </w:t>
      </w:r>
      <w:r>
        <w:rPr>
          <w:rFonts w:ascii="Times New Roman" w:eastAsia="Times New Roman" w:hAnsi="Times New Roman" w:cs="Times New Roman"/>
          <w:b w:val="0"/>
          <w:caps w:val="0"/>
          <w:strike w:val="0"/>
          <w:color w:val="auto"/>
          <w:sz w:val="22"/>
          <w:u w:val="none"/>
        </w:rPr>
        <w:t>ze zm.)</w:t>
      </w:r>
    </w:p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</w:pPr>
      <w:r>
        <w:rPr>
          <w:rFonts w:ascii="Times New Roman" w:eastAsia="Times New Roman" w:hAnsi="Times New Roman" w:cs="Times New Roman"/>
          <w:b/>
          <w:caps w:val="0"/>
          <w:strike w:val="0"/>
          <w:color w:val="auto"/>
          <w:sz w:val="22"/>
          <w:u w:val="none"/>
        </w:rPr>
        <w:t>zarządza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1. </w:t>
      </w:r>
      <w:r>
        <w:rPr>
          <w:rFonts w:ascii="Times New Roman" w:eastAsia="Times New Roman" w:hAnsi="Times New Roman" w:cs="Times New Roman"/>
          <w:sz w:val="22"/>
        </w:rPr>
        <w:t>1. 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Przeznacza się do sprzedaży na rzecz użytkowników wieczystych nieruchomości gruntowe szczegółowo opisane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auto"/>
          <w:sz w:val="22"/>
          <w:u w:val="none"/>
          <w:vertAlign w:val="baseline"/>
        </w:rPr>
        <w:t>załączniku do niniejszego zarządzenia.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sz w:val="22"/>
        </w:rPr>
        <w:t>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Szczegółowe warunki zbycia poszczególnych nieruchomości zostaną ustalone we właściwych protokołach.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sz w:val="22"/>
        </w:rPr>
        <w:t>§ 2.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Wykonanie Zarządzenia powierza się Dyrektorowi Departamentu Gospodarki Nieruchomościami i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Geodezji.</w:t>
      </w:r>
    </w:p>
    <w:p w:rsidR="00A77B3E">
      <w:pPr>
        <w:keepNext w:val="0"/>
        <w:keepLines/>
        <w:spacing w:before="120" w:after="120" w:line="240" w:lineRule="auto"/>
        <w:ind w:left="0" w:right="0" w:firstLine="0"/>
        <w:jc w:val="both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sectPr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rFonts w:ascii="Times New Roman" w:eastAsia="Times New Roman" w:hAnsi="Times New Roman" w:cs="Times New Roman"/>
          <w:b/>
          <w:sz w:val="22"/>
        </w:rPr>
        <w:t>§ 3.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Zarządzenie wchodzi w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życie z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dniem podpisania.</w:t>
      </w:r>
    </w:p>
    <w:p w:rsidR="00A77B3E">
      <w:pPr>
        <w:spacing w:before="120" w:after="0" w:line="240" w:lineRule="auto"/>
        <w:ind w:left="10365" w:right="0" w:firstLine="0"/>
        <w:jc w:val="left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begin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separate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fldChar w:fldCharType="end"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Załącznik do zarządzenia Nr 305/2019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Prezydenta Miasta Elbląg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z dnia 8 lipca 2019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  <w:t>r.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>
      <w:tblGrid>
        <w:gridCol w:w="1455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</w:tbl>
    <w:p w:rsidR="00A77B3E">
      <w:pPr>
        <w:keepNext w:val="0"/>
        <w:keepLines w:val="0"/>
        <w:spacing w:before="120" w:after="120" w:line="240" w:lineRule="auto"/>
        <w:ind w:left="0" w:right="0" w:firstLine="0"/>
        <w:jc w:val="center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WYKAZ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br/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nieruchomości przeznaczonych do zbycia w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 </w:t>
      </w:r>
      <w:r>
        <w:rPr>
          <w:rFonts w:ascii="Times New Roman" w:eastAsia="Times New Roman" w:hAnsi="Times New Roman" w:cs="Times New Roman"/>
          <w:b/>
          <w:i w:val="0"/>
          <w:caps w:val="0"/>
          <w:strike w:val="0"/>
          <w:color w:val="000000"/>
          <w:sz w:val="22"/>
          <w:u w:val="none" w:color="000000"/>
          <w:vertAlign w:val="baseline"/>
        </w:rPr>
        <w:t>drodze bezprzetargowej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70"/>
        <w:gridCol w:w="2356"/>
        <w:gridCol w:w="1096"/>
        <w:gridCol w:w="931"/>
        <w:gridCol w:w="1066"/>
        <w:gridCol w:w="871"/>
        <w:gridCol w:w="2342"/>
        <w:gridCol w:w="1141"/>
        <w:gridCol w:w="2057"/>
        <w:gridCol w:w="2357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14775" w:type="dxa"/>
            <w:gridSpan w:val="10"/>
            <w:tcBorders>
              <w:top w:val="nil"/>
              <w:left w:val="nil"/>
              <w:bottom w:val="single" w:sz="2" w:space="0" w:color="auto"/>
              <w:right w:val="nil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33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Lp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Adres</w:t>
            </w:r>
          </w:p>
        </w:tc>
        <w:tc>
          <w:tcPr>
            <w:tcW w:w="396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Dane geodezyjne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Opis i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przeznaczenie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nieruchomości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Forma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Tryb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zbycia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Cena nieruchomości*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KW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Nr dz.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Pow.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br/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w ha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b/>
              </w:rPr>
              <w:t>Obręb</w:t>
            </w: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2</w:t>
            </w:r>
          </w:p>
        </w:tc>
        <w:tc>
          <w:tcPr>
            <w:tcW w:w="109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3</w:t>
            </w:r>
          </w:p>
        </w:tc>
        <w:tc>
          <w:tcPr>
            <w:tcW w:w="93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4</w:t>
            </w:r>
          </w:p>
        </w:tc>
        <w:tc>
          <w:tcPr>
            <w:tcW w:w="106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5</w:t>
            </w:r>
          </w:p>
        </w:tc>
        <w:tc>
          <w:tcPr>
            <w:tcW w:w="87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6</w:t>
            </w:r>
          </w:p>
        </w:tc>
        <w:tc>
          <w:tcPr>
            <w:tcW w:w="23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7</w:t>
            </w:r>
          </w:p>
        </w:tc>
        <w:tc>
          <w:tcPr>
            <w:tcW w:w="114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8</w:t>
            </w:r>
          </w:p>
        </w:tc>
        <w:tc>
          <w:tcPr>
            <w:tcW w:w="20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9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sz w:val="20"/>
              </w:rPr>
              <w:t>10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870"/>
        </w:trPr>
        <w:tc>
          <w:tcPr>
            <w:tcW w:w="5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1.</w:t>
            </w:r>
          </w:p>
        </w:tc>
        <w:tc>
          <w:tcPr>
            <w:tcW w:w="23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Al. Grunwaldzka 303</w:t>
            </w:r>
          </w:p>
        </w:tc>
        <w:tc>
          <w:tcPr>
            <w:tcW w:w="109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66038/8</w:t>
            </w:r>
          </w:p>
        </w:tc>
        <w:tc>
          <w:tcPr>
            <w:tcW w:w="93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105/30</w:t>
            </w:r>
          </w:p>
        </w:tc>
        <w:tc>
          <w:tcPr>
            <w:tcW w:w="106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0,0862</w:t>
            </w:r>
          </w:p>
        </w:tc>
        <w:tc>
          <w:tcPr>
            <w:tcW w:w="87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20</w:t>
            </w:r>
          </w:p>
        </w:tc>
        <w:tc>
          <w:tcPr>
            <w:tcW w:w="23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Działka niezabudowana</w:t>
            </w:r>
          </w:p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brak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MPZP.</w:t>
            </w:r>
          </w:p>
        </w:tc>
        <w:tc>
          <w:tcPr>
            <w:tcW w:w="114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własność</w:t>
            </w:r>
          </w:p>
        </w:tc>
        <w:tc>
          <w:tcPr>
            <w:tcW w:w="2055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t>Bezprzetargowo,</w:t>
            </w:r>
          </w:p>
          <w:p>
            <w:pPr>
              <w:jc w:val="center"/>
            </w:pPr>
            <w:r>
              <w:t>na rzecz użytkownika wieczystego gruntu</w:t>
            </w:r>
          </w:p>
        </w:tc>
        <w:tc>
          <w:tcPr>
            <w:tcW w:w="2355" w:type="dxa"/>
            <w:tcBorders>
              <w:top w:val="single" w:sz="2" w:space="0" w:color="auto"/>
              <w:left w:val="single" w:sz="2" w:space="0" w:color="auto"/>
              <w:bottom w:val="nil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29.975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  <w:t>zł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915"/>
        </w:trPr>
        <w:tc>
          <w:tcPr>
            <w:tcW w:w="5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9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93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06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87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114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055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  <w:tc>
          <w:tcPr>
            <w:tcW w:w="2355" w:type="dxa"/>
            <w:tcBorders>
              <w:top w:val="nil"/>
              <w:left w:val="single" w:sz="2" w:space="0" w:color="auto"/>
              <w:bottom w:val="single" w:sz="2" w:space="0" w:color="auto"/>
              <w:right w:val="single" w:sz="2" w:space="0" w:color="auto"/>
            </w:tcBorders>
            <w:noWrap w:val="0"/>
            <w:textDirection w:val="lrTb"/>
            <w:vAlign w:val="center"/>
          </w:tcPr>
          <w:p w:rsidR="00A77B3E">
            <w:pPr>
              <w:jc w:val="center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sprzedaż nieruchomości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podlega opodatkowaniu podatkiem VAT, ponieważ nie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stanowi ona dostawy towarów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myśl art.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7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ust.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1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pkt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6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7 ustawy z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dnia 11.03.2004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r.                            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podatku od towarów i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usług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283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* Osoby,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których mowa w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art.34 ust.1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 nabywają nieruchomość za cenę określoną na podstawie art.67 ust.3 ustawy o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 </w:t>
            </w:r>
            <w:r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18"/>
                <w:u w:val="none" w:color="000000"/>
                <w:vertAlign w:val="baseline"/>
              </w:rPr>
              <w:t>gospodarce nieruchomościami.</w:t>
            </w:r>
          </w:p>
        </w:tc>
      </w:tr>
      <w:tr>
        <w:tblPrEx>
          <w:tblW w:w="5000" w:type="pct"/>
          <w:tblLayout w:type="fixed"/>
          <w:tblCellMar>
            <w:left w:w="108" w:type="dxa"/>
            <w:right w:w="108" w:type="dxa"/>
          </w:tblCellMar>
        </w:tblPrEx>
        <w:trPr>
          <w:trHeight w:val="495"/>
        </w:trPr>
        <w:tc>
          <w:tcPr>
            <w:tcW w:w="14775" w:type="dxa"/>
            <w:gridSpan w:val="10"/>
            <w:tcBorders>
              <w:top w:val="nil"/>
              <w:left w:val="nil"/>
              <w:bottom w:val="nil"/>
              <w:right w:val="nil"/>
            </w:tcBorders>
            <w:noWrap w:val="0"/>
            <w:textDirection w:val="lrTb"/>
            <w:vAlign w:val="bottom"/>
          </w:tcPr>
          <w:p w:rsidR="00A77B3E">
            <w:pPr>
              <w:jc w:val="left"/>
              <w:rPr>
                <w:rFonts w:ascii="Times New Roman" w:eastAsia="Times New Roman" w:hAnsi="Times New Roman" w:cs="Times New Roman"/>
                <w:b w:val="0"/>
                <w:i w:val="0"/>
                <w:caps w:val="0"/>
                <w:strike w:val="0"/>
                <w:color w:val="000000"/>
                <w:sz w:val="22"/>
                <w:u w:val="none" w:color="000000"/>
                <w:vertAlign w:val="baseline"/>
              </w:rPr>
            </w:pPr>
            <w:r>
              <w:rPr>
                <w:i/>
                <w:sz w:val="20"/>
              </w:rPr>
              <w:t>Sporządziła: Katarzyna Zaborowska, Specjalista</w:t>
            </w:r>
          </w:p>
        </w:tc>
      </w:tr>
    </w:tbl>
    <w:p w:rsidR="00A77B3E">
      <w:pPr>
        <w:spacing w:before="0" w:after="0"/>
        <w:rPr>
          <w:rFonts w:ascii="Times New Roman" w:eastAsia="Times New Roman" w:hAnsi="Times New Roman" w:cs="Times New Roman"/>
          <w:b w:val="0"/>
          <w:i w:val="0"/>
          <w:caps w:val="0"/>
          <w:strike w:val="0"/>
          <w:color w:val="000000"/>
          <w:sz w:val="22"/>
          <w:u w:val="none" w:color="000000"/>
          <w:vertAlign w:val="baseline"/>
        </w:rPr>
      </w:pPr>
    </w:p>
    <w:sectPr>
      <w:endnotePr>
        <w:numFmt w:val="decimal"/>
      </w:endnotePr>
      <w:type w:val="nextPage"/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Times New Roman" w:eastAsia="Times New Roman" w:hAnsi="Times New Roman" w:cs="Times New Roman"/>
      <w:sz w:val="22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styles" Target="styles.xml" 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305/2019 z dnia 8 lipca 2019 r.</dc:title>
  <dc:subject>w sprawie sporządzenia i^ogłoszenia wykazu nieruchomości
przeznaczonych do sprzedaży na^rzecz^użytkowników wieczystych</dc:subject>
  <dc:creator>kazab</dc:creator>
  <cp:lastModifiedBy>kazab</cp:lastModifiedBy>
  <cp:revision>1</cp:revision>
  <dcterms:created xsi:type="dcterms:W3CDTF">2019-07-09T11:29:50Z</dcterms:created>
  <dcterms:modified xsi:type="dcterms:W3CDTF">2019-07-09T11:29:50Z</dcterms:modified>
  <cp:category>Akt prawny</cp:category>
</cp:coreProperties>
</file>