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168/2019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kwietnia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168/2019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kwietnia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5"/>
        <w:gridCol w:w="1216"/>
        <w:gridCol w:w="878"/>
        <w:gridCol w:w="2055"/>
        <w:gridCol w:w="1403"/>
        <w:gridCol w:w="1530"/>
        <w:gridCol w:w="2543"/>
        <w:gridCol w:w="2788"/>
        <w:gridCol w:w="172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138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EL1E/00037974/9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0,0400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0,0400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Druska 28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193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EL1E/00049873/8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7,8674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1,7000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nad rzeką Kumielą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uprawa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100 zł/ha/rok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Sporządziła:Joanna Danilewicz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168/2019 z dnia 2 kwietnia 2019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2019-04-03T08:11:30Z</dcterms:created>
  <dcterms:modified xsi:type="dcterms:W3CDTF">2019-04-03T08:11:30Z</dcterms:modified>
  <cp:category>Akt prawny</cp:category>
</cp:coreProperties>
</file>