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45/2019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30 stycznia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45/2019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30 stycznia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511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66"/>
        <w:gridCol w:w="1231"/>
        <w:gridCol w:w="1066"/>
        <w:gridCol w:w="1096"/>
        <w:gridCol w:w="961"/>
        <w:gridCol w:w="4202"/>
        <w:gridCol w:w="1201"/>
        <w:gridCol w:w="2326"/>
        <w:gridCol w:w="4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3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73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3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4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7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Kielecka 12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74605/3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515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0,0349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22</w:t>
            </w:r>
          </w:p>
        </w:tc>
        <w:tc>
          <w:tcPr>
            <w:tcW w:w="4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Lokal użytkowy o pow. 44,9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.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 lokalem związany jest udział 0,262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częściach wspólnych i niepodzielnych oraz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prawie własności gruntu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73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90.000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4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534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05" w:type="dxa"/>
          <w:trHeight w:val="465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05" w:type="dxa"/>
          <w:trHeight w:val="465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45/2019 z dnia 30 stycznia 2019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2019-02-04T08:21:25Z</dcterms:created>
  <dcterms:modified xsi:type="dcterms:W3CDTF">2019-02-04T08:21:25Z</dcterms:modified>
  <cp:category>Akt prawny</cp:category>
</cp:coreProperties>
</file>