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4"/>
        </w:rPr>
      </w:pPr>
      <w:r>
        <w:rPr>
          <w:rFonts w:ascii="Times New Roman" w:eastAsia="Times New Roman" w:hAnsi="Times New Roman" w:cs="Times New Roman"/>
          <w:b/>
          <w:caps/>
          <w:sz w:val="24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4"/>
        </w:rPr>
        <w:t xml:space="preserve"> Nr 247/2018</w:t>
      </w:r>
      <w:r>
        <w:rPr>
          <w:rFonts w:ascii="Times New Roman" w:eastAsia="Times New Roman" w:hAnsi="Times New Roman" w:cs="Times New Roman"/>
          <w:b/>
          <w:caps/>
          <w:sz w:val="24"/>
        </w:rPr>
        <w:br/>
      </w:r>
      <w:r>
        <w:rPr>
          <w:rFonts w:ascii="Times New Roman" w:eastAsia="Times New Roman" w:hAnsi="Times New Roman" w:cs="Times New Roman"/>
          <w:b/>
          <w:caps/>
          <w:sz w:val="24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4"/>
        </w:rPr>
      </w:pPr>
      <w:r>
        <w:rPr>
          <w:rFonts w:ascii="Times New Roman" w:eastAsia="Times New Roman" w:hAnsi="Times New Roman" w:cs="Times New Roman"/>
          <w:b w:val="0"/>
          <w:caps w:val="0"/>
          <w:sz w:val="24"/>
        </w:rPr>
        <w:t>z dnia 16 lipca 2018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4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4"/>
          <w:u w:val="none"/>
        </w:rPr>
        <w:t>zarządza się, co następuje:</w:t>
      </w:r>
    </w:p>
    <w:p>
      <w:pPr>
        <w:keepNext/>
        <w:spacing w:before="280" w:line="240" w:lineRule="auto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§ 1. </w:t>
      </w:r>
    </w:p>
    <w:p w:rsidR="00A77B3E">
      <w:pPr>
        <w:keepNext w:val="0"/>
        <w:keepLines/>
        <w:spacing w:before="120" w:after="120" w:line="240" w:lineRule="auto"/>
        <w:ind w:left="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sz w:val="24"/>
        </w:rPr>
        <w:t>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załączniku nr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sz w:val="24"/>
        </w:rPr>
        <w:t>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Szczegółowe warunki zbycia poszczególnych nieruchomości zostaną ustalone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protokołach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przetargu/rokowań.</w:t>
      </w:r>
    </w:p>
    <w:p>
      <w:pPr>
        <w:keepNext/>
        <w:spacing w:before="280" w:line="240" w:lineRule="auto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§ 2. </w:t>
      </w:r>
    </w:p>
    <w:p w:rsidR="00A77B3E">
      <w:pPr>
        <w:keepNext w:val="0"/>
        <w:keepLines/>
        <w:spacing w:before="120" w:after="120" w:line="240" w:lineRule="auto"/>
        <w:ind w:left="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sz w:val="24"/>
        </w:rPr>
        <w:t>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załączniku nr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sz w:val="24"/>
        </w:rPr>
        <w:t>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Wykaz nieruchomości,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którym mowa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Elblągu na okres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dni, 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ponadto informacja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prasie lokalnej.</w:t>
      </w:r>
    </w:p>
    <w:p>
      <w:pPr>
        <w:keepNext/>
        <w:spacing w:before="280" w:line="240" w:lineRule="auto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§ 3.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Geodezji.</w:t>
      </w:r>
    </w:p>
    <w:p>
      <w:pPr>
        <w:keepNext/>
        <w:spacing w:before="280" w:line="240" w:lineRule="auto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§ 4.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sectPr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dniem podpisania.</w:t>
      </w:r>
    </w:p>
    <w:p w:rsidR="00A77B3E">
      <w:pPr>
        <w:spacing w:before="120" w:after="0" w:line="240" w:lineRule="auto"/>
        <w:ind w:left="9467" w:right="0" w:firstLine="0"/>
        <w:jc w:val="left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fldChar w:fldCharType="begin"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fldChar w:fldCharType="separate"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fldChar w:fldCharType="end"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Załącznik Nr 1 do Zarządzenia Nr 247/2018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Prezydenta Miasta Elbląg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 dnia 16 lipca 2018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15118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54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4"/>
          <w:u w:val="none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4"/>
          <w:u w:val="none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4"/>
          <w:u w:val="none"/>
          <w:vertAlign w:val="baseline"/>
        </w:rPr>
        <w:t>drodze przetargu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58"/>
        <w:gridCol w:w="2386"/>
        <w:gridCol w:w="1271"/>
        <w:gridCol w:w="1100"/>
        <w:gridCol w:w="1131"/>
        <w:gridCol w:w="1116"/>
        <w:gridCol w:w="4090"/>
        <w:gridCol w:w="1394"/>
        <w:gridCol w:w="1456"/>
        <w:gridCol w:w="852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54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Lp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31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Adres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447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Dane geodezyjne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396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13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2235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Cena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nieruchomości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3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KW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Nr dz.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Obręb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39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3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235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1</w:t>
            </w:r>
          </w:p>
        </w:tc>
        <w:tc>
          <w:tcPr>
            <w:tcW w:w="23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2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3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4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5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6</w:t>
            </w:r>
          </w:p>
        </w:tc>
        <w:tc>
          <w:tcPr>
            <w:tcW w:w="3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7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8</w:t>
            </w:r>
          </w:p>
        </w:tc>
        <w:tc>
          <w:tcPr>
            <w:tcW w:w="223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765"/>
        </w:trPr>
        <w:tc>
          <w:tcPr>
            <w:tcW w:w="54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1.</w:t>
            </w:r>
          </w:p>
        </w:tc>
        <w:tc>
          <w:tcPr>
            <w:tcW w:w="231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ul. Lotnicza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89183/6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38/40</w:t>
            </w:r>
          </w:p>
        </w:tc>
        <w:tc>
          <w:tcPr>
            <w:tcW w:w="10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0,5309</w:t>
            </w:r>
          </w:p>
        </w:tc>
        <w:tc>
          <w:tcPr>
            <w:tcW w:w="10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23</w:t>
            </w:r>
          </w:p>
        </w:tc>
        <w:tc>
          <w:tcPr>
            <w:tcW w:w="396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Nieruchomość niezabudowana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words" w:color="000000"/>
                <w:vertAlign w:val="baseline"/>
              </w:rPr>
              <w:t>Brak mpzp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 xml:space="preserve"> - zabudowa na podstawie decyzji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warunkach zabudowy/pozwoleniu na budowę</w:t>
            </w:r>
          </w:p>
        </w:tc>
        <w:tc>
          <w:tcPr>
            <w:tcW w:w="13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własność</w:t>
            </w:r>
          </w:p>
        </w:tc>
        <w:tc>
          <w:tcPr>
            <w:tcW w:w="2235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410.000 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3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39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3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235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 xml:space="preserve">plus podatek VAT zgodnie 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05"/>
        </w:trPr>
        <w:tc>
          <w:tcPr>
            <w:tcW w:w="54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2.</w:t>
            </w:r>
          </w:p>
        </w:tc>
        <w:tc>
          <w:tcPr>
            <w:tcW w:w="231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ul. Browarna 12/1a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31920/4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401</w:t>
            </w:r>
          </w:p>
        </w:tc>
        <w:tc>
          <w:tcPr>
            <w:tcW w:w="10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0,0181</w:t>
            </w:r>
          </w:p>
        </w:tc>
        <w:tc>
          <w:tcPr>
            <w:tcW w:w="10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11</w:t>
            </w:r>
          </w:p>
        </w:tc>
        <w:tc>
          <w:tcPr>
            <w:tcW w:w="396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Lokal mieszkalny o pow. 14,4 m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, zbywany wraz z udziałem 0,026 w częściach wspólnych i niepodzielnych budynku oraz w prawie użytkowania wieczystego działki nr 401</w:t>
            </w:r>
          </w:p>
        </w:tc>
        <w:tc>
          <w:tcPr>
            <w:tcW w:w="13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własność/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użytkowanie wieczyste</w:t>
            </w:r>
          </w:p>
        </w:tc>
        <w:tc>
          <w:tcPr>
            <w:tcW w:w="2235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27.000 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10"/>
        </w:trPr>
        <w:tc>
          <w:tcPr>
            <w:tcW w:w="5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3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39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3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235" w:type="dxa"/>
            <w:gridSpan w:val="2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w tym: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5"/>
        </w:trPr>
        <w:tc>
          <w:tcPr>
            <w:tcW w:w="5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3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39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3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410" w:type="dxa"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lokal:</w:t>
            </w:r>
          </w:p>
        </w:tc>
        <w:tc>
          <w:tcPr>
            <w:tcW w:w="825" w:type="dxa"/>
            <w:tcBorders>
              <w:top w:val="nil"/>
              <w:left w:val="nil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26.025 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5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3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39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3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410" w:type="dxa"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udział w gruncie:</w:t>
            </w:r>
          </w:p>
        </w:tc>
        <w:tc>
          <w:tcPr>
            <w:tcW w:w="825" w:type="dxa"/>
            <w:tcBorders>
              <w:top w:val="nil"/>
              <w:left w:val="nil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975 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3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39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3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235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 xml:space="preserve">plus podatek VAT zgodnie 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1486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1486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1. Osoby,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których mowa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art.34 ust.1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gospodarce nieruchomościami nabywają nieruchomość za cenę określoną na podstawie art.67 ust.3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gospodarce nieruchomościami.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</w:p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Pierwszeństwo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nabyciu nieruchomości określonych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powyższym wykazie dotyczy osób, którym przysługuje roszczenie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nabycie nieruchomości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mocy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gospodarce nieruchomościami lub odrębnych przepisów, jeżeli złożą wniosek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jej nabycie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terminie 6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tygodni, licząc od dnia wywieszenia wykazu.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</w:p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2. Pierwsza opłata z tytułu ustanowienia prawa użytkowania wieczystego, stanowi 25 % wartości udziału w gruncie i zostanie powiększona o należny podatek VAT. Opłata ta wraz z ceną sprzedaży lokalu płatna jest przed zawarciem umowy sprzedaży.</w:t>
            </w:r>
          </w:p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3. Kolejne opłaty roczne, stanowią 1 % wartości udziału w gruncie, zostaną powiększone o należny podatek VAT, płatne są z góry w terminie do dnia 31 marca każdego roku.</w:t>
            </w:r>
          </w:p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4. Wysokość opłat rocznych może być aktualizowana na skutek zmian wartości gruntu, nie częściej niż raz na 3 lata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1486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1486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Sporządził: Anna Szczęśniak, Podinspektor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850" w:right="850" w:bottom="1417" w:left="85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247/2018 z dnia 16 lipca 2018 r.</dc:title>
  <dc:subject>w sprawie sporządzenia i^ogłoszenia wykazu nieruchomości przeznaczonych do zbycia</dc:subject>
  <dc:creator>anban</dc:creator>
  <cp:lastModifiedBy>anban</cp:lastModifiedBy>
  <cp:revision>1</cp:revision>
  <dcterms:created xsi:type="dcterms:W3CDTF">2018-07-17T11:36:02Z</dcterms:created>
  <dcterms:modified xsi:type="dcterms:W3CDTF">2018-07-17T11:36:02Z</dcterms:modified>
  <cp:category>Akt prawny</cp:category>
</cp:coreProperties>
</file>