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240/2018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13 lipca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4"/>
        </w:rPr>
        <w:br/>
      </w:r>
      <w:r>
        <w:rPr>
          <w:rFonts w:ascii="Times New Roman" w:eastAsia="Times New Roman" w:hAnsi="Times New Roman" w:cs="Times New Roman"/>
          <w:b/>
          <w:caps w:val="0"/>
          <w:sz w:val="24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protokole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keepNext/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 1 do Zarządzenia Nr 240/2018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13 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WYKAZ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25"/>
        <w:gridCol w:w="2205"/>
        <w:gridCol w:w="1035"/>
        <w:gridCol w:w="885"/>
        <w:gridCol w:w="1005"/>
        <w:gridCol w:w="885"/>
        <w:gridCol w:w="2700"/>
        <w:gridCol w:w="1350"/>
        <w:gridCol w:w="1980"/>
        <w:gridCol w:w="2548"/>
        <w:gridCol w:w="24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</w:t>
            </w:r>
          </w:p>
        </w:tc>
        <w:tc>
          <w:tcPr>
            <w:tcW w:w="22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</w:p>
        </w:tc>
        <w:tc>
          <w:tcPr>
            <w:tcW w:w="38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19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79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9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</w:t>
            </w:r>
          </w:p>
        </w:tc>
        <w:tc>
          <w:tcPr>
            <w:tcW w:w="27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2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Skrzydlata 11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36442/4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19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0,9852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23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gruntowa zabudowana budynkami handlowo-usługowymi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Brak mpzp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</w:p>
        </w:tc>
        <w:tc>
          <w:tcPr>
            <w:tcW w:w="19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Bezprzetargowo,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na rzecz użytkownika wieczystego gruntu</w:t>
            </w:r>
          </w:p>
        </w:tc>
        <w:tc>
          <w:tcPr>
            <w:tcW w:w="27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230.414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sprzedaż nieruchomości nie podlega opodatkowaniu podatkiem VAT, ponieważ nie stanowi ona dostawy towarów w myśl art. 7 ust. 1 pkt 6 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36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36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36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240/2018 z dnia 13 lipca 2018 r.</dc:title>
  <dc:subject>w sprawie sporządzenia i^ogłoszenia wykazu nieruchomości
przeznaczonych do sprzedaży na^rzecz^użytkowników wieczystych</dc:subject>
  <dc:creator>anban</dc:creator>
  <cp:lastModifiedBy>anban</cp:lastModifiedBy>
  <cp:revision>1</cp:revision>
  <dcterms:created xsi:type="dcterms:W3CDTF">2018-07-17T08:37:53Z</dcterms:created>
  <dcterms:modified xsi:type="dcterms:W3CDTF">2018-07-17T08:37:53Z</dcterms:modified>
  <cp:category>Akt prawny</cp:category>
</cp:coreProperties>
</file>