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4.9.0.0 -->
  <w:body>
    <w:p w:rsidR="00A77B3E">
      <w:pPr>
        <w:ind w:left="0"/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t xml:space="preserve"> Nr 147/2017</w:t>
      </w:r>
      <w:r>
        <w:rPr>
          <w:b/>
          <w:caps/>
        </w:rPr>
        <w:br/>
      </w:r>
      <w:r>
        <w:rPr>
          <w:b/>
          <w:caps/>
        </w:rPr>
        <w:t>Prezydenta Miasta Elbląg</w:t>
      </w:r>
    </w:p>
    <w:p w:rsidR="00A77B3E">
      <w:pPr>
        <w:spacing w:before="280" w:after="280"/>
        <w:ind w:left="0"/>
        <w:jc w:val="center"/>
        <w:rPr>
          <w:b/>
          <w:caps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marca 2017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z w:val="22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Na podstawie art.35 ust.1 i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dnia 21 sierpnia 1997 r. o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Dz.U. z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z w:val="22"/>
        </w:rPr>
        <w:t>2016 r. poz. 2147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b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umowach dzierżawy.</w:t>
      </w:r>
    </w:p>
    <w:p>
      <w:pPr>
        <w:keepNext/>
        <w:spacing w:before="280" w:line="240" w:lineRule="auto"/>
        <w:jc w:val="center"/>
      </w:pPr>
      <w:r>
        <w:rPr>
          <w:b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ust. 1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siedzibie Urzędu Miejskiego na okres 21 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b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Geodezji.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</w:p>
    <w:p>
      <w:pPr>
        <w:keepNext/>
        <w:spacing w:before="280" w:line="240" w:lineRule="auto"/>
        <w:jc w:val="center"/>
      </w:pPr>
      <w:r>
        <w:rPr>
          <w:b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sect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</w:p>
    <w:p w:rsidR="00A77B3E">
      <w:pPr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fldChar w:fldCharType="end"/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Załącznik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Nr 147/2017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right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Prezydenta Miasta Elbląg z dnia 27 marca 2017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color w:val="auto"/>
          <w:sz w:val="22"/>
          <w:u w:val="no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6"/>
        <w:gridCol w:w="947"/>
        <w:gridCol w:w="844"/>
        <w:gridCol w:w="1996"/>
        <w:gridCol w:w="1357"/>
        <w:gridCol w:w="1482"/>
        <w:gridCol w:w="2565"/>
        <w:gridCol w:w="2839"/>
        <w:gridCol w:w="157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L.p.</w:t>
            </w:r>
          </w:p>
        </w:tc>
        <w:tc>
          <w:tcPr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Oznaczenie nieruchomości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w ha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Położenie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Sposób zagospodarowania</w:t>
            </w:r>
          </w:p>
        </w:tc>
        <w:tc>
          <w:tcPr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Nr działki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Nr obrębu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KW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w ha</w:t>
            </w:r>
          </w:p>
        </w:tc>
        <w:tc>
          <w:tcPr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</w:p>
        </w:tc>
        <w:tc>
          <w:tcPr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</w:p>
        </w:tc>
        <w:tc>
          <w:tcPr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</w:p>
        </w:tc>
        <w:tc>
          <w:tcPr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1.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2.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3.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4.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5.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6.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7.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8.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color w:val="auto"/>
                <w:sz w:val="20"/>
                <w:u w:val="no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1.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997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995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4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EL1E/00032403/1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0,0115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0,0098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0,0051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0,0098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ul. Suwalska 63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zieleń, tereny mieszkaniowe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242/2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9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EL1E/00049873/8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3,5183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0,5000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Bolesława Chrobrego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uprawa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100 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199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18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EL1E/00015958/1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2,1149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0,7000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Działkowa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uprawa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100 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4.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56/1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EL1E/00069416/3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1,0000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0,0500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Okólnik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droga tymczasowa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0,12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5.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358/4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359/4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22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EL1E/00031740/8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EL1E/00045066/0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0,0444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0,0126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0,0148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0,0058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Malborska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6.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272/3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5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EL1E/00031748/4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0,0090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0,0090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ul. Legionów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zieleń, tereny mieszkaniowe</w:t>
            </w:r>
          </w:p>
        </w:tc>
        <w:tc>
          <w:tcPr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24,40zł/m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color w:val="auto"/>
                <w:sz w:val="22"/>
                <w:u w:val="none"/>
                <w:vertAlign w:val="baseline"/>
              </w:rP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Czynsz określony w skali roku płatny jest w terminie 3 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Zmiana czynszu może nastąpić w przypadku zmiany zarządzenia Prezydenta Miasta Elbląga w 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398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</w:rPr>
              <w:t>Sporządziła: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color w:val="auto"/>
                <w:sz w:val="16"/>
                <w:u w:val="none"/>
              </w:rPr>
              <w:t>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color w:val="auto"/>
          <w:sz w:val="22"/>
          <w:u w:val="none"/>
        </w:rPr>
      </w:pPr>
    </w:p>
    <w:sectPr>
      <w:type w:val="nextPage"/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147/2017 z dnia 27 marca 2017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2017-03-28T13:03:57Z</dcterms:created>
  <dcterms:modified xsi:type="dcterms:W3CDTF">2017-03-28T13:03:57Z</dcterms:modified>
  <cp:category>Akt prawny</cp:category>
</cp:coreProperties>
</file>