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4A0" w:rsidRPr="00A054A0" w:rsidRDefault="00A054A0" w:rsidP="00A054A0">
      <w:pPr>
        <w:pBdr>
          <w:bottom w:val="single" w:sz="6" w:space="1" w:color="auto"/>
        </w:pBdr>
        <w:ind w:firstLine="0"/>
        <w:jc w:val="center"/>
        <w:outlineLvl w:val="9"/>
        <w:rPr>
          <w:rFonts w:eastAsia="Times New Roman" w:cs="Arial"/>
          <w:bCs w:val="0"/>
          <w:vanish/>
          <w:sz w:val="16"/>
          <w:szCs w:val="16"/>
          <w:lang w:eastAsia="pl-PL"/>
        </w:rPr>
      </w:pPr>
      <w:r w:rsidRPr="00A054A0">
        <w:rPr>
          <w:rFonts w:eastAsia="Times New Roman" w:cs="Arial"/>
          <w:bCs w:val="0"/>
          <w:vanish/>
          <w:sz w:val="16"/>
          <w:szCs w:val="16"/>
          <w:lang w:eastAsia="pl-PL"/>
        </w:rPr>
        <w:t>Początek formularza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47"/>
        <w:gridCol w:w="900"/>
      </w:tblGrid>
      <w:tr w:rsidR="00A054A0" w:rsidRPr="00A054A0" w:rsidTr="00A054A0">
        <w:trPr>
          <w:tblCellSpacing w:w="0" w:type="dxa"/>
        </w:trPr>
        <w:tc>
          <w:tcPr>
            <w:tcW w:w="0" w:type="auto"/>
            <w:vAlign w:val="center"/>
            <w:hideMark/>
          </w:tcPr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Adres strony internetowej, na której zamieszczona będzie specyfikacja istotnych warunków zamówienia (jeżeli dotyczy): 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hyperlink r:id="rId5" w:tgtFrame="_blank" w:history="1">
              <w:r w:rsidRPr="00A054A0">
                <w:rPr>
                  <w:rFonts w:eastAsia="Times New Roman" w:cs="Times New Roman"/>
                  <w:bCs w:val="0"/>
                  <w:color w:val="0000FF"/>
                  <w:sz w:val="16"/>
                  <w:szCs w:val="16"/>
                  <w:u w:val="single"/>
                  <w:lang w:eastAsia="pl-PL"/>
                </w:rPr>
                <w:t>http://www.ept.umelblag.pl/</w:t>
              </w:r>
            </w:hyperlink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pict>
                <v:rect id="_x0000_i1025" style="width:0;height:1.5pt" o:hralign="center" o:hrstd="t" o:hr="t" fillcolor="#a0a0a0" stroked="f"/>
              </w:pic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Ogłoszenie nr 51559 - 2017 z dnia 2017-03-24 r. </w:t>
            </w:r>
          </w:p>
          <w:p w:rsidR="00A054A0" w:rsidRPr="00A054A0" w:rsidRDefault="00A054A0" w:rsidP="00A054A0">
            <w:pPr>
              <w:ind w:firstLine="0"/>
              <w:jc w:val="center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Elbląg: na usługę wykonania urządzenia opartego na technologii </w:t>
            </w:r>
            <w:proofErr w:type="spellStart"/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Beacon</w:t>
            </w:r>
            <w:proofErr w:type="spellEnd"/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dla spółki ONSMART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OGŁOSZENIE O ZAMÓWIENIU - Usługi 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Zamieszczanie ogłoszenia: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obowiązkowe 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Ogłoszenie dotyczy: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zamówienia publicznego 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Zamówienie dotyczy projektu lub programu współfinansowanego ze środków Unii Europejskiej 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tak 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Nazwa projektu lub programu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tak 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Należy podać minimalny procentowy wskaźnik zatrudnienia osób należących do jednej lub więcej kategorii, o których mowa w art. 22 ust. 2 ustawy </w:t>
            </w:r>
            <w:proofErr w:type="spellStart"/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Pzp</w:t>
            </w:r>
            <w:proofErr w:type="spellEnd"/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, nie mniejszy niż 30%, osób zatrudnionych przez zakłady pracy chronionej lub wykonawców albo ich jednostki (w %)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Program Operacyjny Rozwój Polski Wschodniej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Cs w:val="0"/>
                <w:sz w:val="16"/>
                <w:szCs w:val="16"/>
                <w:u w:val="single"/>
                <w:lang w:eastAsia="pl-PL"/>
              </w:rPr>
              <w:t>SEKCJA I: ZAMAWIAJĄCY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Postępowanie przeprowadza centralny zamawiający 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Postępowanie przeprowadza podmiot, któremu zamawiający powierzył/powierzyli przeprowadzenie postępowania 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tak 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Informacje na temat podmiotu któremu zamawiający powierzył/powierzyli prowadzenie </w:t>
            </w:r>
            <w:proofErr w:type="spellStart"/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postępowania: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Pomorska</w:t>
            </w:r>
            <w:proofErr w:type="spellEnd"/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Grupa Doradcza ul. Zbożowa 7/46, 81-020 Gdynia Adres poczty elektronicznej: przetargi@kamilzbroja.eu Numer telefonu: 500 205 198; Numer faksu: 58 620 80 57;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Postępowanie jest przeprowadzane wspólnie przez zamawiających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Jeżeli tak, należy wymienić zamawiających, którzy wspólnie przeprowadzają postępowanie oraz podać adresy ich siedzib, krajowe numery identyfikacyjne oraz osoby do kontaktów wraz z danymi do kontaktów: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Postępowanie jest przeprowadzane wspólnie z zamawiającymi z innych państw członkowskich Unii Europejskiej 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W przypadku przeprowadzania postępowania wspólnie z zamawiającymi z innych państw członkowskich Unii Europejskiej – mające zastosowanie krajowe prawo zamówień publicznych: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Informacje dodatkowe: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I. 1) NAZWA I ADRES: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Elbląski Park Technologiczny, krajowy numer identyfikacyjny 28059440700000, ul. ul. Stanisława Sulimy  1, 82300   Elbląg, woj. warmińsko-mazurskie, państwo Polska, tel. 55 239 34 67, e-mail biuro@ept.umelblag.pl, faks 55 237 47 61.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Adres strony internetowej (URL): http://www.ept.umelblag.pl/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I. 2) RODZAJ ZAMAWIAJĄCEGO: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Administracja samorządowa 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I.3) WSPÓLNE UDZIELANIE ZAMÓWIENIA </w:t>
            </w:r>
            <w:r w:rsidRPr="00A054A0">
              <w:rPr>
                <w:rFonts w:eastAsia="Times New Roman" w:cs="Times New Roman"/>
                <w:b/>
                <w:i/>
                <w:iCs/>
                <w:sz w:val="16"/>
                <w:szCs w:val="16"/>
                <w:lang w:eastAsia="pl-PL"/>
              </w:rPr>
              <w:t>(jeżeli dotyczy)</w:t>
            </w: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: 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I.4) KOMUNIKACJA: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Nieograniczony, pełny i bezpośredni dostęp do dokumentów z postępowania można uzyskać pod adresem (URL)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tak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http://www.ept.umelblag.pl/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Adres strony internetowej, na której zamieszczona będzie specyfikacja istotnych warunków zamówienia 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tak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http://www.ept.umelblag.pl/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Dostęp do dokumentów z postępowania jest ograniczony - więcej informacji można </w:t>
            </w: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lastRenderedPageBreak/>
              <w:t xml:space="preserve">uzyskać pod adresem 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Oferty lub wnioski o dopuszczenie do udziału w postępowaniu należy przesyłać: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Elektronicznie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adres 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Dopuszczone jest przesłanie ofert lub wniosków o dopuszczenie do udziału w postępowaniu w inny sposób: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Wymagane jest przesłanie ofert lub wniosków o dopuszczenie do udziału w postępowaniu w inny sposób: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tak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Inny sposób: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Pisemnie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Adres: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82-300 Elbląg, ul. S. Sulimy 1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Komunikacja elektroniczna wymaga korzystania z narzędzi i urządzeń lub formatów plików, które nie są ogólnie dostępne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Nieograniczony, pełny, bezpośredni i bezpłatny dostęp do tych narzędzi można uzyskać pod adresem: (URL) 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Cs w:val="0"/>
                <w:sz w:val="16"/>
                <w:szCs w:val="16"/>
                <w:u w:val="single"/>
                <w:lang w:eastAsia="pl-PL"/>
              </w:rPr>
              <w:t xml:space="preserve">SEKCJA II: PRZEDMIOT ZAMÓWIENIA 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II.1) Nazwa nadana zamówieniu przez zamawiającego: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na usługę wykonania urządzenia opartego na technologii </w:t>
            </w:r>
            <w:proofErr w:type="spellStart"/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Beacon</w:t>
            </w:r>
            <w:proofErr w:type="spellEnd"/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dla spółki ONSMART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Numer referencyjny: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EPT.271.11.2017.AO/1.1.1.POPW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Przed wszczęciem postępowania o udzielenie zamówienia przeprowadzono dialog techniczny </w:t>
            </w:r>
          </w:p>
          <w:p w:rsidR="00A054A0" w:rsidRPr="00A054A0" w:rsidRDefault="00A054A0" w:rsidP="00A054A0">
            <w:pPr>
              <w:ind w:firstLine="0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II.2) Rodzaj zamówienia: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usługi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II.3) Informacja o możliwości składania ofert częściowych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Zamówienie podzielone jest na części: 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II.4) Krótki opis przedmiotu zamówienia </w:t>
            </w:r>
            <w:r w:rsidRPr="00A054A0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>(wielkość, zakres, rodzaj i ilość dostaw, usług lub robót budowlanych lub określenie zapotrzebowania i wymagań )</w:t>
            </w: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 a w przypadku partnerstwa innowacyjnego - określenie zapotrzebowania na innowacyjny produkt, usługę lub roboty budowlane: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Przedmiotem zamówienia wykonanie urządzenia opartego na technologii </w:t>
            </w:r>
            <w:proofErr w:type="spellStart"/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Beacon</w:t>
            </w:r>
            <w:proofErr w:type="spellEnd"/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- Zaprojektowanie urządzenia klasy sterownik oświetlenia LED z modułem wykonawczym o ośmiu wyjściach dyskretnych, maksymalne napięcie styków 250 VAC, 110 VDC, napięcie zasilania części sterującej modułu wykonawczego VCC: 5 V. - Wykonanie modułu zintegrowanego z </w:t>
            </w:r>
            <w:proofErr w:type="spellStart"/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mikrosterownikiem</w:t>
            </w:r>
            <w:proofErr w:type="spellEnd"/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wykorzystującym energooszczędny mikrokontroler 8-bitowy. - </w:t>
            </w:r>
            <w:proofErr w:type="spellStart"/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Mikrosterownik</w:t>
            </w:r>
            <w:proofErr w:type="spellEnd"/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integruje moduł nadawczo-odbiorczy w paśmie 2.4 </w:t>
            </w:r>
            <w:proofErr w:type="spellStart"/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GHz</w:t>
            </w:r>
            <w:proofErr w:type="spellEnd"/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. Komunikacja </w:t>
            </w:r>
            <w:proofErr w:type="spellStart"/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mikrosterownika</w:t>
            </w:r>
            <w:proofErr w:type="spellEnd"/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w standardzie Bluetooth 4.0, wsparcie dla trybów Bluetooth HID i </w:t>
            </w:r>
            <w:proofErr w:type="spellStart"/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ibeacon</w:t>
            </w:r>
            <w:proofErr w:type="spellEnd"/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, zasięg do 50 m w otwartej przestrzeni, czułość - 93 </w:t>
            </w:r>
            <w:proofErr w:type="spellStart"/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dBm</w:t>
            </w:r>
            <w:proofErr w:type="spellEnd"/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, możliwość programowania bezprzewodowego. - Urządzenie powinno komunikować się z aplikacją mobilną użytkownika za pomocą komend bajtowych. Komendy sterujące aktywujące lub zerujące stan wyjścia modułu wykonawczego. Aplikacja Mobilna - Zaprogramowanie aplikacji mobilnej - Przystosowanie aplikacji mobilnej pod urządzenia typu </w:t>
            </w:r>
            <w:proofErr w:type="spellStart"/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Beacon</w:t>
            </w:r>
            <w:proofErr w:type="spellEnd"/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- Zaprojektowanie algorytmu komunikacyjnego miedzy urządzeniem typu </w:t>
            </w:r>
            <w:proofErr w:type="spellStart"/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Beacon</w:t>
            </w:r>
            <w:proofErr w:type="spellEnd"/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oraz telefonu do funkcji sterowania oświetleniem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II.5) Główny kod CPV: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72244000-7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II.6) Całkowita wartość zamówienia </w:t>
            </w:r>
            <w:r w:rsidRPr="00A054A0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>(jeżeli zamawiający podaje informacje o wartości zamówienia)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: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Wartość bez VAT: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Waluta: 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>(w przypadku umów ramowych lub dynamicznego systemu zakupów – szacunkowa całkowita maksymalna wartość w całym okresie obowiązywania umowy ramowej lub dynamicznego systemu zakupów)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II.7) Czy przewiduje się udzielenie zamówień, o których mowa w art. 67 ust. 1 pkt 6 i 7 lub w art. 134 ust. 6 pkt 3 ustawy </w:t>
            </w:r>
            <w:proofErr w:type="spellStart"/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Pzp</w:t>
            </w:r>
            <w:proofErr w:type="spellEnd"/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: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II.8) Okres, w którym realizowane będzie zamówienie lub okres, na który została zawarta umowa ramowa lub okres, na który został ustanowiony dynamiczny system zakupów: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data zakończenia: 24/04/2017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lastRenderedPageBreak/>
              <w:br/>
            </w: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II.9) Informacje dodatkowe: 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Cs w:val="0"/>
                <w:sz w:val="16"/>
                <w:szCs w:val="16"/>
                <w:u w:val="single"/>
                <w:lang w:eastAsia="pl-PL"/>
              </w:rPr>
              <w:t xml:space="preserve">SEKCJA III: INFORMACJE O CHARAKTERZE PRAWNYM, EKONOMICZNYM, FINANSOWYM I TECHNICZNYM 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III.1) WARUNKI UDZIAŁU W POSTĘPOWANIU 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III.1.1) Kompetencje lub uprawnienia do prowadzenia określonej działalności zawodowej, o ile wynika to z odrębnych przepisów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Określenie warunków: Zamawiający nie stawia szczegółowych wymagań w tym zakresie.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III.1.2) Sytuacja finansowa lub ekonomiczna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Określenie warunków: Zamawiający nie stawia szczegółowych wymagań w tym zakresie.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III.1.3) Zdolność techniczna lub zawodowa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Określenie warunków: Zamawiający nie stawia szczegółowych wymagań w tym zakresie.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III.2) PODSTAWY WYKLUCZENIA 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III.2.1) Podstawy wykluczenia określone w art. 24 ust. 1 ustawy </w:t>
            </w:r>
            <w:proofErr w:type="spellStart"/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Pzp</w:t>
            </w:r>
            <w:proofErr w:type="spellEnd"/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III.2.2) Zamawiający przewiduje wykluczenie wykonawcy na podstawie art. 24 ust. 5 ustawy </w:t>
            </w:r>
            <w:proofErr w:type="spellStart"/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Pzp</w:t>
            </w:r>
            <w:proofErr w:type="spellEnd"/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nie 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III.3) WYKAZ OŚWIADCZEŃ SKŁADANYCH PRZEZ WYKONAWCĘ W CELU WSTĘPNEGO POTWIERDZENIA, ŻE NIE PODLEGA ON WYKLUCZENIU ORAZ SPEŁNIA WARUNKI UDZIAŁU W POSTĘPOWANIU ORAZ SPEŁNIA KRYTERIA SELEKCJI 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Oświadczenie o niepodleganiu wykluczeniu oraz spełnianiu warunków udziału w postępowaniu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tak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Oświadczenie o spełnianiu kryteriów selekcji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III.4) WYKAZ OŚWIADCZEŃ LUB DOKUMENTÓW , SKŁADANYCH PRZEZ WYKONAWCĘ W POSTĘPOWANIU NA WEZWANIE ZAMAWIAJACEGO W CELU POTWIERDZENIA OKOLICZNOŚCI, O KTÓRYCH MOWA W ART. 25 UST. 1 PKT 3 USTAWY PZP: 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III.5) WYKAZ OŚWIADCZEŃ LUB DOKUMENTÓW SKŁADANYCH PRZEZ WYKONAWCĘ W POSTĘPOWANIU NA WEZWANIE ZAMAWIAJACEGO W CELU POTWIERDZENIA OKOLICZNOŚCI, O KTÓRYCH MOWA W ART. 25 UST. 1 PKT 1 USTAWY PZP 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III.5.1) W ZAKRESIE SPEŁNIANIA WARUNKÓW UDZIAŁU W POSTĘPOWANIU: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III.5.2) W ZAKRESIE KRYTERIÓW SELEKCJI: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III.6) WYKAZ OŚWIADCZEŃ LUB DOKUMENTÓW SKŁADANYCH PRZEZ WYKONAWCĘ W POSTĘPOWANIU NA WEZWANIE ZAMAWIAJACEGO W CELU POTWIERDZENIA OKOLICZNOŚCI, O KTÓRYCH MOWA W ART. 25 UST. 1 PKT 2 USTAWY PZP 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III.7) INNE DOKUMENTY NIE WYMIENIONE W pkt III.3) - III.6) 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Cs w:val="0"/>
                <w:sz w:val="16"/>
                <w:szCs w:val="16"/>
                <w:u w:val="single"/>
                <w:lang w:eastAsia="pl-PL"/>
              </w:rPr>
              <w:t xml:space="preserve">SEKCJA IV: PROCEDURA 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IV.1) OPIS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IV.1.1) Tryb udzielenia zamówienia: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przetarg nieograniczony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IV.1.2) Zamawiający żąda wniesienia wadium: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IV.1.3) Przewiduje się udzielenie zaliczek na poczet wykonania zamówienia: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IV.1.4) Wymaga się złożenia ofert w postaci katalogów elektronicznych lub dołączenia do ofert katalogów elektronicznych: 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Dopuszcza się złożenie ofert w postaci katalogów elektronicznych lub dołączenia do ofert katalogów elektronicznych: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IV.1.5.) Wymaga się złożenia oferty wariantowej: 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Dopuszcza się złożenie oferty wariantowej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Złożenie oferty wariantowej dopuszcza się tylko z jednoczesnym złożeniem oferty zasadniczej: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IV.1.6) Przewidywana liczba wykonawców, którzy zostaną zaproszeni do udziału w postępowaniu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 xml:space="preserve">(przetarg ograniczony, negocjacje z ogłoszeniem, dialog konkurencyjny, partnerstwo innowacyjne) 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Liczba wykonawców  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Przewidywana minimalna liczba wykonawców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lastRenderedPageBreak/>
              <w:t>Maksymalna liczba wykonawców  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Kryteria selekcji wykonawców: 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IV.1.7) Informacje na temat umowy ramowej lub dynamicznego systemu zakupów: 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Umowa ramowa będzie zawarta: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Czy przewiduje się ograniczenie liczby uczestników umowy ramowej: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Zamówienie obejmuje ustanowienie dynamicznego systemu zakupów: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 ramach umowy ramowej/dynamicznego systemu zakupów dopuszcza się złożenie ofert w formie katalogów elektronicznych: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Przewiduje się pobranie ze złożonych katalogów elektronicznych informacji potrzebnych do sporządzenia ofert w ramach umowy ramowej/dynamicznego systemu zakupów: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IV.1.8) Aukcja elektroniczna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Przewidziane jest przeprowadzenie aukcji elektronicznej </w:t>
            </w:r>
            <w:r w:rsidRPr="00A054A0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 xml:space="preserve">(przetarg nieograniczony, przetarg ograniczony, negocjacje z ogłoszeniem)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Należy wskazać elementy, których wartości będą przedmiotem aukcji elektronicznej: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Przewiduje się ograniczenia co do przedstawionych wartości, wynikające z opisu przedmiotu zamówienia: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Należy podać, które informacje zostaną udostępnione wykonawcom w trakcie aukcji elektronicznej oraz jaki będzie termin ich udostępnienia: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dotyczące przebiegu aukcji elektronicznej: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Jaki jest przewidziany sposób postępowania w toku aukcji elektronicznej i jakie będą warunki, na jakich wykonawcy będą mogli licytować (minimalne wysokości postąpień):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dotyczące wykorzystywanego sprzętu elektronicznego, rozwiązań i specyfikacji technicznych w zakresie połączeń: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Wymagania dotyczące rejestracji i identyfikacji wykonawców w aukcji elektronicznej: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o liczbie etapów aukcji elektronicznej i czasie ich trwania: 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Aukcja wieloetapowa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55"/>
              <w:gridCol w:w="1590"/>
            </w:tblGrid>
            <w:tr w:rsidR="00A054A0" w:rsidRPr="00A054A0" w:rsidTr="00A054A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054A0" w:rsidRPr="00A054A0" w:rsidRDefault="00A054A0" w:rsidP="00A054A0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A054A0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etap nr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054A0" w:rsidRPr="00A054A0" w:rsidRDefault="00A054A0" w:rsidP="00A054A0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A054A0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czas trwania etapu</w:t>
                  </w:r>
                </w:p>
              </w:tc>
            </w:tr>
            <w:tr w:rsidR="00A054A0" w:rsidRPr="00A054A0" w:rsidTr="00A054A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054A0" w:rsidRPr="00A054A0" w:rsidRDefault="00A054A0" w:rsidP="00A054A0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054A0" w:rsidRPr="00A054A0" w:rsidRDefault="00A054A0" w:rsidP="00A054A0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</w:p>
              </w:tc>
            </w:tr>
          </w:tbl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Czy wykonawcy, którzy nie złożyli nowych postąpień, zostaną zakwalifikowani do następnego etapu: nie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Warunki zamknięcia aukcji elektronicznej: 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IV.2) KRYTERIA OCENY OFERT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IV.2.1) Kryteria oceny ofert: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IV.2.2) Kryteria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798"/>
              <w:gridCol w:w="886"/>
            </w:tblGrid>
            <w:tr w:rsidR="00A054A0" w:rsidRPr="00A054A0" w:rsidTr="00A054A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054A0" w:rsidRPr="00A054A0" w:rsidRDefault="00A054A0" w:rsidP="00A054A0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A054A0">
                    <w:rPr>
                      <w:rFonts w:eastAsia="Times New Roman" w:cs="Times New Roman"/>
                      <w:bCs w:val="0"/>
                      <w:i/>
                      <w:iCs/>
                      <w:sz w:val="16"/>
                      <w:szCs w:val="16"/>
                      <w:lang w:eastAsia="pl-PL"/>
                    </w:rPr>
                    <w:t>Kryteria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054A0" w:rsidRPr="00A054A0" w:rsidRDefault="00A054A0" w:rsidP="00A054A0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A054A0">
                    <w:rPr>
                      <w:rFonts w:eastAsia="Times New Roman" w:cs="Times New Roman"/>
                      <w:bCs w:val="0"/>
                      <w:i/>
                      <w:iCs/>
                      <w:sz w:val="16"/>
                      <w:szCs w:val="16"/>
                      <w:lang w:eastAsia="pl-PL"/>
                    </w:rPr>
                    <w:t>Znaczenie</w:t>
                  </w:r>
                </w:p>
              </w:tc>
            </w:tr>
            <w:tr w:rsidR="00A054A0" w:rsidRPr="00A054A0" w:rsidTr="00A054A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054A0" w:rsidRPr="00A054A0" w:rsidRDefault="00A054A0" w:rsidP="00A054A0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A054A0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Całkowita cena brutto za zrealizowanie całości zamówienia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054A0" w:rsidRPr="00A054A0" w:rsidRDefault="00A054A0" w:rsidP="00A054A0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A054A0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60</w:t>
                  </w:r>
                </w:p>
              </w:tc>
            </w:tr>
            <w:tr w:rsidR="00A054A0" w:rsidRPr="00A054A0" w:rsidTr="00A054A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054A0" w:rsidRPr="00A054A0" w:rsidRDefault="00A054A0" w:rsidP="00A054A0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A054A0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Termin realizacji zamówienia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054A0" w:rsidRPr="00A054A0" w:rsidRDefault="00A054A0" w:rsidP="00A054A0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A054A0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40</w:t>
                  </w:r>
                </w:p>
              </w:tc>
            </w:tr>
          </w:tbl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IV.2.3) Zastosowanie procedury, o której mowa w art. 24aa ust. 1 ustawy </w:t>
            </w:r>
            <w:proofErr w:type="spellStart"/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Pzp</w:t>
            </w:r>
            <w:proofErr w:type="spellEnd"/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(przetarg nieograniczony)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tak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IV.3) Negocjacje z ogłoszeniem, dialog konkurencyjny, partnerstwo innowacyjne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IV.3.1) Informacje na temat negocjacji z ogłoszeniem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Minimalne wymagania, które muszą spełniać wszystkie oferty: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Przewidziane jest zastrzeżenie prawa do udzielenia zamówienia na podstawie ofert wstępnych bez przeprowadzenia negocjacji nie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Przewidziany jest podział negocjacji na etapy w celu ograniczenia liczby ofert: nie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Należy podać informacje na temat etapów negocjacji (w tym liczbę etapów):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IV.3.2) Informacje na temat dialogu konkurencyjnego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Opis potrzeb i wymagań zamawiającego lub informacja o sposobie uzyskania tego opisu: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Informacja o wysokości nagród dla wykonawców, którzy podczas dialogu konkurencyjnego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lastRenderedPageBreak/>
              <w:t xml:space="preserve">przedstawili rozwiązania stanowiące podstawę do składania ofert, jeżeli zamawiający przewiduje nagrody: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Wstępny harmonogram postępowania: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Podział dialogu na etapy w celu ograniczenia liczby rozwiązań: nie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Należy podać informacje na temat etapów dialogu: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IV.3.3) Informacje na temat partnerstwa innowacyjnego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Elementy opisu przedmiotu zamówienia definiujące minimalne wymagania, którym muszą odpowiadać wszystkie oferty: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Podział negocjacji na etapy w celu ograniczeniu liczby ofert podlegających negocjacjom poprzez zastosowanie kryteriów oceny ofert wskazanych w specyfikacji istotnych warunków zamówienia: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IV.4) Licytacja elektroniczna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Adres strony internetowej, na której będzie prowadzona licytacja elektroniczna: 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Adres strony internetowej, na której jest dostępny opis przedmiotu zamówienia w licytacji elektronicznej: 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Wymagania dotyczące rejestracji i identyfikacji wykonawców w licytacji elektronicznej, w tym wymagania techniczne urządzeń informatycznych: 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Sposób postępowania w toku licytacji elektronicznej, w tym określenie minimalnych wysokości postąpień: 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Informacje o liczbie etapów licytacji elektronicznej i czasie ich trwania: 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Licytacja wieloetapowa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55"/>
              <w:gridCol w:w="1590"/>
            </w:tblGrid>
            <w:tr w:rsidR="00A054A0" w:rsidRPr="00A054A0" w:rsidTr="00A054A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054A0" w:rsidRPr="00A054A0" w:rsidRDefault="00A054A0" w:rsidP="00A054A0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A054A0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etap nr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054A0" w:rsidRPr="00A054A0" w:rsidRDefault="00A054A0" w:rsidP="00A054A0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A054A0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czas trwania etapu</w:t>
                  </w:r>
                </w:p>
              </w:tc>
            </w:tr>
            <w:tr w:rsidR="00A054A0" w:rsidRPr="00A054A0" w:rsidTr="00A054A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054A0" w:rsidRPr="00A054A0" w:rsidRDefault="00A054A0" w:rsidP="00A054A0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054A0" w:rsidRPr="00A054A0" w:rsidRDefault="00A054A0" w:rsidP="00A054A0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</w:p>
              </w:tc>
            </w:tr>
          </w:tbl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Wykonawcy, którzy nie złożyli nowych postąpień, zostaną zakwalifikowani do następnego etapu: nie 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Termin otwarcia licytacji elektronicznej: 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Termin i warunki zamknięcia licytacji elektronicznej: 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Istotne dla stron postanowienia, które zostaną wprowadzone do treści zawieranej umowy w sprawie zamówienia publicznego, albo ogólne warunki umowy, albo wzór umowy: 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Wymagania dotyczące zabezpieczenia należytego wykonania umowy: 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IV.5) ZMIANA UMOWY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Przewiduje się istotne zmiany postanowień zawartej umowy w stosunku do treści oferty, na podstawie której dokonano wyboru wykonawcy: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nie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IV.6) INFORMACJE ADMINISTRACYJNE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IV.6.1) Sposób udostępniania informacji o charakterze poufnym </w:t>
            </w:r>
            <w:r w:rsidRPr="00A054A0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 xml:space="preserve">(jeżeli dotyczy):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Środki służące ochronie informacji o charakterze poufnym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IV.6.2) Termin składania ofert lub wniosków o dopuszczenie do udziału w postępowaniu: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Data: 31/03/2017, godzina: 10:00,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Skrócenie terminu składania wniosków, ze względu na pilną potrzebę udzielenia zamówienia (przetarg nieograniczony, przetarg ograniczony, negocjacje z ogłoszeniem):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Wskazać powody: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Język lub języki, w jakich mogą być sporządzane oferty lub wnioski o dopuszczenie do udziału w postępowaniu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&gt;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IV.6.3) Termin związania ofertą: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okres w dniach: 30 (od ostatecznego terminu składania ofert)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nie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nie </w:t>
            </w:r>
            <w:r w:rsidRPr="00A054A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054A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lastRenderedPageBreak/>
              <w:t>IV.6.6) Informacje dodatkowe:</w:t>
            </w:r>
          </w:p>
          <w:p w:rsidR="00A054A0" w:rsidRPr="00A054A0" w:rsidRDefault="00A054A0" w:rsidP="00A054A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</w:p>
        </w:tc>
        <w:tc>
          <w:tcPr>
            <w:tcW w:w="900" w:type="dxa"/>
            <w:noWrap/>
            <w:tcMar>
              <w:top w:w="0" w:type="dxa"/>
              <w:left w:w="0" w:type="dxa"/>
              <w:bottom w:w="0" w:type="dxa"/>
              <w:right w:w="75" w:type="dxa"/>
            </w:tcMar>
            <w:hideMark/>
          </w:tcPr>
          <w:p w:rsidR="00A054A0" w:rsidRPr="00A054A0" w:rsidRDefault="00A054A0" w:rsidP="00A054A0">
            <w:pPr>
              <w:ind w:firstLine="0"/>
              <w:jc w:val="righ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054A0">
              <w:rPr>
                <w:rFonts w:eastAsia="Times New Roman" w:cs="Times New Roman"/>
                <w:bCs w:val="0"/>
                <w:noProof/>
                <w:color w:val="0000FF"/>
                <w:sz w:val="16"/>
                <w:szCs w:val="16"/>
                <w:lang w:eastAsia="pl-PL"/>
              </w:rPr>
              <w:lastRenderedPageBreak/>
              <w:drawing>
                <wp:inline distT="0" distB="0" distL="0" distR="0" wp14:anchorId="15E9327D" wp14:editId="2E42A83F">
                  <wp:extent cx="155575" cy="155575"/>
                  <wp:effectExtent l="0" t="0" r="0" b="0"/>
                  <wp:docPr id="3" name="Obraz 3" descr="Zwiększ rozmiar czcionki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Zwiększ rozmiar czcionki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054A0">
              <w:rPr>
                <w:rFonts w:eastAsia="Times New Roman" w:cs="Times New Roman"/>
                <w:bCs w:val="0"/>
                <w:noProof/>
                <w:color w:val="0000FF"/>
                <w:sz w:val="16"/>
                <w:szCs w:val="16"/>
                <w:lang w:eastAsia="pl-PL"/>
              </w:rPr>
              <w:drawing>
                <wp:inline distT="0" distB="0" distL="0" distR="0" wp14:anchorId="4E3D53A0" wp14:editId="21BDF9B1">
                  <wp:extent cx="155575" cy="155575"/>
                  <wp:effectExtent l="0" t="0" r="0" b="0"/>
                  <wp:docPr id="2" name="Obraz 2" descr="Ustaw domyślny rozmiar czcionki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Ustaw domyślny rozmiar czcionki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054A0">
              <w:rPr>
                <w:rFonts w:eastAsia="Times New Roman" w:cs="Times New Roman"/>
                <w:bCs w:val="0"/>
                <w:noProof/>
                <w:color w:val="0000FF"/>
                <w:sz w:val="16"/>
                <w:szCs w:val="16"/>
                <w:lang w:eastAsia="pl-PL"/>
              </w:rPr>
              <w:drawing>
                <wp:inline distT="0" distB="0" distL="0" distR="0" wp14:anchorId="1020C99B" wp14:editId="54E2EBAA">
                  <wp:extent cx="155575" cy="155575"/>
                  <wp:effectExtent l="0" t="0" r="0" b="0"/>
                  <wp:docPr id="1" name="Obraz 1" descr="Zmniejsz rozmiar czcionki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Zmniejsz rozmiar czcionki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054A0" w:rsidRPr="00A054A0" w:rsidRDefault="00A054A0" w:rsidP="00A054A0">
      <w:pPr>
        <w:pBdr>
          <w:top w:val="single" w:sz="6" w:space="1" w:color="auto"/>
        </w:pBdr>
        <w:ind w:firstLine="0"/>
        <w:jc w:val="center"/>
        <w:outlineLvl w:val="9"/>
        <w:rPr>
          <w:rFonts w:eastAsia="Times New Roman" w:cs="Arial"/>
          <w:bCs w:val="0"/>
          <w:vanish/>
          <w:sz w:val="16"/>
          <w:szCs w:val="16"/>
          <w:lang w:eastAsia="pl-PL"/>
        </w:rPr>
      </w:pPr>
      <w:bookmarkStart w:id="0" w:name="_GoBack"/>
      <w:bookmarkEnd w:id="0"/>
      <w:r w:rsidRPr="00A054A0">
        <w:rPr>
          <w:rFonts w:eastAsia="Times New Roman" w:cs="Arial"/>
          <w:bCs w:val="0"/>
          <w:vanish/>
          <w:sz w:val="16"/>
          <w:szCs w:val="16"/>
          <w:lang w:eastAsia="pl-PL"/>
        </w:rPr>
        <w:lastRenderedPageBreak/>
        <w:t>Dół formularza</w:t>
      </w:r>
    </w:p>
    <w:p w:rsidR="00B62C5A" w:rsidRPr="00A054A0" w:rsidRDefault="00B62C5A" w:rsidP="00A054A0">
      <w:pPr>
        <w:rPr>
          <w:sz w:val="16"/>
          <w:szCs w:val="16"/>
        </w:rPr>
      </w:pPr>
    </w:p>
    <w:sectPr w:rsidR="00B62C5A" w:rsidRPr="00A054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4A0"/>
    <w:rsid w:val="003E207E"/>
    <w:rsid w:val="004C7623"/>
    <w:rsid w:val="00A054A0"/>
    <w:rsid w:val="00B62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7623"/>
    <w:pPr>
      <w:ind w:firstLine="426"/>
      <w:outlineLvl w:val="5"/>
    </w:pPr>
    <w:rPr>
      <w:rFonts w:ascii="Verdana" w:hAnsi="Verdana"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A054A0"/>
    <w:pPr>
      <w:pBdr>
        <w:bottom w:val="single" w:sz="6" w:space="1" w:color="auto"/>
      </w:pBdr>
      <w:ind w:firstLine="0"/>
      <w:jc w:val="center"/>
      <w:outlineLvl w:val="9"/>
    </w:pPr>
    <w:rPr>
      <w:rFonts w:ascii="Arial" w:eastAsia="Times New Roman" w:hAnsi="Arial" w:cs="Arial"/>
      <w:bCs w:val="0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A054A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054A0"/>
    <w:pPr>
      <w:spacing w:before="100" w:beforeAutospacing="1" w:after="100" w:afterAutospacing="1"/>
      <w:ind w:firstLine="0"/>
      <w:jc w:val="left"/>
      <w:outlineLvl w:val="9"/>
    </w:pPr>
    <w:rPr>
      <w:rFonts w:ascii="Times New Roman" w:eastAsia="Times New Roman" w:hAnsi="Times New Roman" w:cs="Times New Roman"/>
      <w:bCs w:val="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054A0"/>
    <w:rPr>
      <w:color w:val="0000FF"/>
      <w:u w:val="single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A054A0"/>
    <w:pPr>
      <w:pBdr>
        <w:top w:val="single" w:sz="6" w:space="1" w:color="auto"/>
      </w:pBdr>
      <w:ind w:firstLine="0"/>
      <w:jc w:val="center"/>
      <w:outlineLvl w:val="9"/>
    </w:pPr>
    <w:rPr>
      <w:rFonts w:ascii="Arial" w:eastAsia="Times New Roman" w:hAnsi="Arial" w:cs="Arial"/>
      <w:bCs w:val="0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A054A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054A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54A0"/>
    <w:rPr>
      <w:rFonts w:ascii="Tahoma" w:hAnsi="Tahoma" w:cs="Tahoma"/>
      <w:b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7623"/>
    <w:pPr>
      <w:ind w:firstLine="426"/>
      <w:outlineLvl w:val="5"/>
    </w:pPr>
    <w:rPr>
      <w:rFonts w:ascii="Verdana" w:hAnsi="Verdana"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A054A0"/>
    <w:pPr>
      <w:pBdr>
        <w:bottom w:val="single" w:sz="6" w:space="1" w:color="auto"/>
      </w:pBdr>
      <w:ind w:firstLine="0"/>
      <w:jc w:val="center"/>
      <w:outlineLvl w:val="9"/>
    </w:pPr>
    <w:rPr>
      <w:rFonts w:ascii="Arial" w:eastAsia="Times New Roman" w:hAnsi="Arial" w:cs="Arial"/>
      <w:bCs w:val="0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A054A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054A0"/>
    <w:pPr>
      <w:spacing w:before="100" w:beforeAutospacing="1" w:after="100" w:afterAutospacing="1"/>
      <w:ind w:firstLine="0"/>
      <w:jc w:val="left"/>
      <w:outlineLvl w:val="9"/>
    </w:pPr>
    <w:rPr>
      <w:rFonts w:ascii="Times New Roman" w:eastAsia="Times New Roman" w:hAnsi="Times New Roman" w:cs="Times New Roman"/>
      <w:bCs w:val="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054A0"/>
    <w:rPr>
      <w:color w:val="0000FF"/>
      <w:u w:val="single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A054A0"/>
    <w:pPr>
      <w:pBdr>
        <w:top w:val="single" w:sz="6" w:space="1" w:color="auto"/>
      </w:pBdr>
      <w:ind w:firstLine="0"/>
      <w:jc w:val="center"/>
      <w:outlineLvl w:val="9"/>
    </w:pPr>
    <w:rPr>
      <w:rFonts w:ascii="Arial" w:eastAsia="Times New Roman" w:hAnsi="Arial" w:cs="Arial"/>
      <w:bCs w:val="0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A054A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054A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54A0"/>
    <w:rPr>
      <w:rFonts w:ascii="Tahoma" w:hAnsi="Tahoma" w:cs="Tahoma"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370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10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3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944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428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1718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3642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960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9854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3415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05149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471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01142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7573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8787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5297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485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02743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9347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5807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8030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493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4705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70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141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40283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9277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5350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375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3148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22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0080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6247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0077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78100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5094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2005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119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809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3694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29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8366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8410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954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bzp.uzp.gov.pl/Out/Browser.aspx?id=5c546e42-6f3b-4918-a856-43869475bda0&amp;path=2017%5c03%5c20170324%5c51559_2017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ept.umelblag.pl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2288</Words>
  <Characters>13729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Demo</dc:creator>
  <cp:lastModifiedBy>Demo</cp:lastModifiedBy>
  <cp:revision>1</cp:revision>
  <dcterms:created xsi:type="dcterms:W3CDTF">2017-03-24T14:36:00Z</dcterms:created>
  <dcterms:modified xsi:type="dcterms:W3CDTF">2017-03-24T14:37:00Z</dcterms:modified>
</cp:coreProperties>
</file>