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83" w:rsidRPr="00A40683" w:rsidRDefault="00A40683" w:rsidP="00A40683">
      <w:pPr>
        <w:pBdr>
          <w:bottom w:val="single" w:sz="6" w:space="1" w:color="auto"/>
        </w:pBdr>
        <w:ind w:firstLine="0"/>
        <w:jc w:val="center"/>
        <w:outlineLvl w:val="9"/>
        <w:rPr>
          <w:rFonts w:eastAsia="Times New Roman" w:cs="Arial"/>
          <w:bCs w:val="0"/>
          <w:vanish/>
          <w:sz w:val="16"/>
          <w:szCs w:val="16"/>
          <w:lang w:eastAsia="pl-PL"/>
        </w:rPr>
      </w:pPr>
      <w:r w:rsidRPr="00A40683">
        <w:rPr>
          <w:rFonts w:eastAsia="Times New Roman" w:cs="Arial"/>
          <w:bCs w:val="0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A40683" w:rsidRPr="00A40683" w:rsidTr="00A406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hyperlink r:id="rId5" w:tgtFrame="_blank" w:history="1">
              <w:r w:rsidRPr="00A40683">
                <w:rPr>
                  <w:rFonts w:eastAsia="Times New Roman" w:cs="Times New Roman"/>
                  <w:bCs w:val="0"/>
                  <w:color w:val="0000FF"/>
                  <w:sz w:val="16"/>
                  <w:szCs w:val="16"/>
                  <w:u w:val="single"/>
                  <w:lang w:eastAsia="pl-PL"/>
                </w:rPr>
                <w:t>http://www.ept.umelblag.pl</w:t>
              </w:r>
            </w:hyperlink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Ogłoszenie nr 21157 - 2017 z dnia 2017-02-07 r. </w:t>
            </w:r>
          </w:p>
          <w:p w:rsidR="00A40683" w:rsidRPr="00A40683" w:rsidRDefault="00A40683" w:rsidP="00A40683">
            <w:pPr>
              <w:ind w:firstLine="0"/>
              <w:jc w:val="center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Elbląg: na usługi doradcze oraz projektowania inżynierskiego dla inkubowanej spółki FLOAT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OGŁOSZENIE O ZAMÓWIENIU - Usługi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Zamieszczanie ogłoszenia: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obowiązkowe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Ogłoszenie dotyczy: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zamówienia publicznego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Zamówienie dotyczy projektu lub programu współfinansowanego ze środków Unii Europejskiej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Nazwa projektu lub programu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Program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Opracyjny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Rozwój Polski Wschodniej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Pzp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>SEKCJA I: ZAMAWIAJĄCY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przeprowadza centralny zamawiający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Informacje na temat podmiotu któremu zamawiający powierzył/powierzyli prowadzenie </w:t>
            </w:r>
            <w:proofErr w:type="spellStart"/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postępowania: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Podmiot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, któremu Zamawiający powierzył przygotowanie i przeprowadzenie postępowania na podstawie art. 15 ust. 2 ustawy: Pomorska Grupa Doradcza ul. Zbożowa 7/46, 81-020 Gdynia Adres poczty elektronicznej: przetargi@kamilzbroja.eu Numer telefonu: 500 205 198; Numer faksu: 58 620 80 57;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Postępowanie jest przeprowadzane wspólnie przez zamawiających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Informacje dodatkowe: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 1) NAZWA I ADRES: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Elbląski Park Technologiczny, krajowy numer identyfikacyjny 28059440700000, ul. ul. Stanisława Sulimy  1, 82300   Elbląg, woj. warmińsko-mazurskie, państwo Polska, tel. 55 239 34 67, e-mail biuro@ept.umelblag.pl, faks 55 237 47 61.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Adres strony internetowej (URL): http://www.ept.umelblag.pl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 2) RODZAJ ZAMAWIAJĄCEGO: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Administracja samorządowa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I.3) WSPÓLNE UDZIELANIE ZAMÓWIENIA </w:t>
            </w:r>
            <w:r w:rsidRPr="00A40683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pl-PL"/>
              </w:rPr>
              <w:t>(jeżeli dotyczy)</w:t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I.4) KOMUNIKACJA: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Nieograniczony, pełny i bezpośredni dostęp do dokumentów z postępowania można uzyskać pod adresem (URL)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http://www.ept.umelblag.pl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http://www.ept.umelblag.pl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Oferty lub wnioski o dopuszczenie do udziału w postępowaniu należy przesyłać: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Elektronicznie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Dopuszczone jest przesłanie ofert lub wniosków o dopuszczenie do udziału w postępowaniu w inny sposób: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Wymagane jest przesłanie ofert lub wniosków o dopuszczenie do udziału w postępowaniu w inny sposób: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Inny sposób: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Pisemnie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82-300 Elbląg, ul. S. Sulimy 1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II: PRZEDMIOT ZAMÓWIENIA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II.1) Nazwa nadana zamówieniu przez zamawiającego: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na usługi doradcze oraz projektowania inżynierskiego dla inkubowanej spółki FLOAT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Numer referencyjny: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EPT.271.7.2017.AO/1.1.1.POPW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Przed wszczęciem postępowania o udzielenie zamówienia przeprowadzono dialog techniczny </w:t>
            </w:r>
          </w:p>
          <w:p w:rsidR="00A40683" w:rsidRPr="00A40683" w:rsidRDefault="00A40683" w:rsidP="00A40683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II.2) Rodzaj zamówienia: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usługi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II.3) Informacja o możliwości składania ofert częściowych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Zamówienie podzielone jest na części: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II.4) Krótki opis przedmiotu zamówienia </w:t>
            </w:r>
            <w:r w:rsidRPr="00A40683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(wielkość, zakres, rodzaj i ilość dostaw, usług lub robót budowlanych lub określenie zapotrzebowania i wymagań )</w:t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Przedmiotem zamówienia jest: Świadczenie usług doradczych na rzecz inkubowanej Spółki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Float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startup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) Kwota jaką Zamawiający zamierza przeznaczyć na sfinansowanie zamówienia wynosi 42.000,00 PLN brutto Zakup usługi designer-projektant 1. Warsztat – Indywidualne spotkanie wykonawcy ze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startupem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, poznania zakresu doradztwa oraz przygotowania wytycznych do pracy. Celem indywidualnych warsztatów będzie przekazanie przez inkubowaną spółkę wszelkich informacji do opracowania przez Wykonawcę niżej wymienionych indywidualnych usług. Spotkanie obejmuje 6 godzin i odbyć się ma w Elblągu/Elbląskim Parku Technologicznym. 2. Wykonanie usługi projektowej obejmujące: · doprecyzowanie projektu ogólnego – efektem będzie model w programie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sketch-up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i rysunek 2D - Plan Ogólny · projekt koncepcyjno-designerski wnętrza - model w programie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sketch-up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, wizualizacje robocze, rysunek rzutu wnętrza, wstępny-ideowy projekt elementów ruchomych wyposażenia wnętrza (model 3D + rysunki robocze w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cad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) · stworzenie technicznego modelu całej jednostki 3D w programie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RhinoCeros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· badania pływalności (analiza mas, wyporność kadłuba) - efektem ma być plik z obliczeniami w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excelu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i propozycja kształtu kadłuba w programie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RhinoCeros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· badania stateczności pod kątem kryteriów wymaganych przy certyfikacji · obliczenia wytrzymałościowe parametryczne (wskaźnikowe - wg norm) i w wąskim zakresie analityczne (realne - do zaproponowania konstrukcji poddanej próbom niszczącym), efektem ma być raport z obliczeń oraz określenie gramatury poszycia, plan laminowania poszycia, dobranie konstrukcji- usztywnień, kalkulacja masy · analiza oporowo - napędowa · projekt techniczny + dokumentacja techniczna rejestracyjna konstrukcji (Rysunki konstrukcji kadłuba i nadwodzia, odpowiednie rzuty, przekroje i szczegóły) + dokumentacja techniczna rejestracyjna wyposażenia i instalacji w niezbędnym zakresie, który zawiera: opis techniczny plan ogólny rysunek linii teoretycznych analiza stateczności analiza niezatapialności rysunek usztywnień plan laminowania rysunek fundamentu silnika napędowego plan otworów w pokładzie plan urządzenia sterowego plan otworów w poszyciu plan wentylacji plan instalacji gazu ciekłego plan siłowni schematy instalacji zęzowej, paliwowej, wody chłodzącej, spalinowej rysunek zbiorników paliwowych schemat instalacji elektrycznej, bilans energetyczny, dobór akumulatorów. 3. Proces Certyfikacji. · przygotowanie dokumentacji do procesu certyfikacji w Polskim Rejestrze Statków 4. Perspektywa pól innowacyjności, stworzenie projektu koncepcyjny nowatorskiego napędu i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joystickowego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sterowania z automatycznym parkowaniem - jako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t xml:space="preserve">doprecyzowanie pól innowacyjności, określenie perspektywy, kierunku, opis techniczny. plan ogólny. W ramach wykonania usługi, Wykonawca będzie współpracował z osobami wskazanymi przez spółkę. W ramach wykonania usługi, Wykonawca będzie dostępny telefonicznie i mailowo, przez co najmniej przez 3 (trzy) godziny dziennie w dni robocze. 1. Przeprowadzenie warsztatu i przygotowanie wytycznych – miejsce: Elbląg/Elbląski Park Technologiczny. 2. Opracowanie ww. strategii – 30 dni od otrzymania przez Wykonawcę informacji dot. produktu i Spółki tj. od warsztatu. 2. Komunikacja odbywać się będzie w języku polskim i/lub angielskim. 3. Wykonawca przekaże wyłączne autorskie prawa majątkowe do utworów powstałych w czasie realizacji Zamówienia inkubowanej spółce. 4. Wykonawca zapewni bezpieczeństwo przed nieuprawnionym dostępem do gromadzonych i przechowywanych danych, w związku z wykonywaniem niniejszej umowy. 5. Zatwierdzenie realizacji Zamówienia potwierdzone jest protokołem odbioru podpisanym obustronnie przez Wykonawcę i inkubowaną spółkę.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II.5) Główny kod CPV: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71320000-7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Dodatkowe kody CPV: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71311000-1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II.6) Całkowita wartość zamówienia </w:t>
            </w:r>
            <w:r w:rsidRPr="00A40683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(jeżeli zamawiający podaje informacje o wartości zamówienia)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Wartość bez VAT: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Waluta: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data zakończenia: 20/03/2017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II.9) Informacje dodatkowe: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III.1) WARUNKI UDZIAŁU W POSTĘPOWANIU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III.1.1) Kompetencje lub uprawnienia do prowadzenia określonej działalności zawodowej, o ile wynika to z odrębnych przepisów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Określenie warunków: Zamawiający nie stawia szczegółowych wymagań w tym zakresie.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III.1.2) Sytuacja finansowa lub ekonomiczna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Określenie warunków: Zamawiający nie stawia szczegółowych wymagań w tym zakresie.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III.1.3) Zdolność techniczna lub zawodowa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Określenie warunków: Zamawiający uzna warunek za spełniony jeżeli Wykonawca wykaże, że dysponuje i/lub będzie dysponował minimum jedną osobą posiadającą: - wykształcenie inżynierskie projektowania jednostek pływających oraz - doświadczenie inżynierskie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marine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- minimum 3 lata oraz - doświadczenie marynarskie- żeglarskie oraz - znajomość branży lodzi i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houseboatów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oraz - umiejętność obsługi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programow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sketch-up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rhinoceros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III.2) PODSTAWY WYKLUCZENIA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III.2.1) Podstawy wykluczenia określone w art. 24 ust. 1 ustawy </w:t>
            </w:r>
            <w:proofErr w:type="spellStart"/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Oświadczenie o niepodleganiu wykluczeniu oraz spełnianiu warunków udziału w postępowaniu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Oświadczenie o spełnianiu kryteriów selekcji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III.5.1) W ZAKRESIE SPEŁNIANIA WARUNKÓW UDZIAŁU W POSTĘPOWANIU: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III.5.2) W ZAKRESIE KRYTERIÓW SELEKCJI: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lastRenderedPageBreak/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III.7) INNE DOKUMENTY NIE WYMIENIONE W pkt III.3) - III.6)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IV: PROCEDURA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IV.1) OPIS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IV.1.1) Tryb udzielenia zamówienia: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przetarg nieograniczony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IV.1.2) Zamawiający żąda wniesienia wadium: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IV.1.3) Przewiduje się udzielenie zaliczek na poczet wykonania zamówienia: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IV.1.5.) Wymaga się złożenia oferty wariantowej: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Dopuszcza się złożenie oferty wariantowej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IV.1.6) Przewidywana liczba wykonawców, którzy zostaną zaproszeni do udziału w postępowaniu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(przetarg ograniczony, negocjacje z ogłoszeniem, dialog konkurencyjny, partnerstwo innowacyjne)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Liczba wykonawców  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Przewidywana minimalna liczba wykonawców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Maksymalna liczba wykonawców  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Kryteria selekcji wykonawców: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IV.1.7) Informacje na temat umowy ramowej lub dynamicznego systemu zakupów: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Umowa ramowa będzie zawarta: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Czy przewiduje się ograniczenie liczby uczestników umowy ramowej: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Zamówienie obejmuje ustanowienie dynamicznego systemu zakupów: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IV.1.8) Aukcja elektroniczna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Przewidziane jest przeprowadzenie aukcji elektronicznej </w:t>
            </w:r>
            <w:r w:rsidRPr="00A40683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(przetarg nieograniczony, przetarg ograniczony, negocjacje z ogłoszeniem)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Należy wskazać elementy, których wartości będą przedmiotem aukcji elektronicznej: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Przewiduje się ograniczenia co do przedstawionych wartości, wynikające z opisu przedmiotu zamówienia: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dotyczące przebiegu aukcji elektronicznej: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Wymagania dotyczące rejestracji i identyfikacji wykonawców w aukcji elektronicznej: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o liczbie etapów aukcji elektronicznej i czasie ich trwania: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1590"/>
            </w:tblGrid>
            <w:tr w:rsidR="00A40683" w:rsidRPr="00A40683" w:rsidTr="00A406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40683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lastRenderedPageBreak/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40683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czas trwania etapu</w:t>
                  </w:r>
                </w:p>
              </w:tc>
            </w:tr>
            <w:tr w:rsidR="00A40683" w:rsidRPr="00A40683" w:rsidTr="00A406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Warunki zamknięcia aukcji elektronicznej: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IV.2) KRYTERIA OCENY OFERT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IV.2.1) Kryteria oceny ofert: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1"/>
              <w:gridCol w:w="886"/>
            </w:tblGrid>
            <w:tr w:rsidR="00A40683" w:rsidRPr="00A40683" w:rsidTr="00A406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40683">
                    <w:rPr>
                      <w:rFonts w:eastAsia="Times New Roman" w:cs="Times New Roman"/>
                      <w:bCs w:val="0"/>
                      <w:i/>
                      <w:iCs/>
                      <w:sz w:val="16"/>
                      <w:szCs w:val="16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40683">
                    <w:rPr>
                      <w:rFonts w:eastAsia="Times New Roman" w:cs="Times New Roman"/>
                      <w:bCs w:val="0"/>
                      <w:i/>
                      <w:iCs/>
                      <w:sz w:val="16"/>
                      <w:szCs w:val="16"/>
                      <w:lang w:eastAsia="pl-PL"/>
                    </w:rPr>
                    <w:t>Znaczenie</w:t>
                  </w:r>
                </w:p>
              </w:tc>
            </w:tr>
            <w:tr w:rsidR="00A40683" w:rsidRPr="00A40683" w:rsidTr="00A406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40683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Całkowita cena brutto za zrealizowanie całości zamówienia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40683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</w:tr>
            <w:tr w:rsidR="00A40683" w:rsidRPr="00A40683" w:rsidTr="00A406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40683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Doświadczenie osób wyznaczonych do realizacji zamówienia – wykonania usługi projektowej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40683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</w:tr>
          </w:tbl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(przetarg nieograniczony)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IV.3) Negocjacje z ogłoszeniem, dialog konkurencyjny, partnerstwo innowacyjne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IV.3.1) Informacje na temat negocjacji z ogłoszeniem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Minimalne wymagania, które muszą spełniać wszystkie oferty: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Przewidziany jest podział negocjacji na etapy w celu ograniczenia liczby ofert: 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informacje na temat etapów negocjacji (w tym liczbę etapów):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IV.3.2) Informacje na temat dialogu konkurencyjnego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Opis potrzeb i wymagań zamawiającego lub informacja o sposobie uzyskania tego opisu: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Wstępny harmonogram postępowania: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Podział dialogu na etapy w celu ograniczenia liczby rozwiązań: 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informacje na temat etapów dialogu: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IV.3.3) Informacje na temat partnerstwa innowacyjnego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IV.4) Licytacja elektroniczna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Informacje o liczbie etapów licytacji elektronicznej i czasie ich trwania: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1590"/>
            </w:tblGrid>
            <w:tr w:rsidR="00A40683" w:rsidRPr="00A40683" w:rsidTr="00A406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40683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40683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czas trwania etapu</w:t>
                  </w:r>
                </w:p>
              </w:tc>
            </w:tr>
            <w:tr w:rsidR="00A40683" w:rsidRPr="00A40683" w:rsidTr="00A406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683" w:rsidRPr="00A40683" w:rsidRDefault="00A40683" w:rsidP="00A40683">
                  <w:pPr>
                    <w:ind w:firstLine="0"/>
                    <w:jc w:val="left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Termin otwarcia licytacji elektronicznej: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Termin i warunki zamknięcia licytacji elektronicznej: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Wymagania dotyczące zabezpieczenia należytego wykonania umowy: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IV.5) ZMIANA UMOWY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IV.6) INFORMACJE ADMINISTRACYJNE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IV.6.1) Sposób udostępniania informacji o charakterze poufnym </w:t>
            </w:r>
            <w:r w:rsidRPr="00A40683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(jeżeli dotyczy):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Środki służące ochronie informacji o charakterze poufnym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IV.6.2) Termin składania ofert lub wniosków o dopuszczenie do udziału w postępowaniu: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Data: 14/02/2017, godzina: 10:00,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Wskazać powody: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&gt;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IV.6.3) Termin związania ofertą: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okres w dniach: 30 (od ostatecznego terminu składania ofert)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A40683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4068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IV.6.6) Informacje dodatkowe:</w:t>
            </w:r>
          </w:p>
          <w:p w:rsidR="00A40683" w:rsidRPr="00A40683" w:rsidRDefault="00A40683" w:rsidP="00A40683">
            <w:pPr>
              <w:ind w:firstLine="0"/>
              <w:jc w:val="lef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40683" w:rsidRPr="00A40683" w:rsidRDefault="00A40683" w:rsidP="00A40683">
            <w:pPr>
              <w:ind w:firstLine="0"/>
              <w:jc w:val="right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40683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lastRenderedPageBreak/>
              <w:drawing>
                <wp:inline distT="0" distB="0" distL="0" distR="0" wp14:anchorId="77D202EE" wp14:editId="4EC761E4">
                  <wp:extent cx="155575" cy="155575"/>
                  <wp:effectExtent l="0" t="0" r="0" b="0"/>
                  <wp:docPr id="3" name="Obraz 3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683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 wp14:anchorId="5203445D" wp14:editId="62628A23">
                  <wp:extent cx="155575" cy="155575"/>
                  <wp:effectExtent l="0" t="0" r="0" b="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683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 wp14:anchorId="795A3F32" wp14:editId="1637633E">
                  <wp:extent cx="155575" cy="155575"/>
                  <wp:effectExtent l="0" t="0" r="0" b="0"/>
                  <wp:docPr id="1" name="Obraz 1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683" w:rsidRPr="00A40683" w:rsidRDefault="00A40683" w:rsidP="00A40683">
      <w:pPr>
        <w:pBdr>
          <w:top w:val="single" w:sz="6" w:space="1" w:color="auto"/>
        </w:pBdr>
        <w:ind w:firstLine="0"/>
        <w:jc w:val="center"/>
        <w:outlineLvl w:val="9"/>
        <w:rPr>
          <w:rFonts w:eastAsia="Times New Roman" w:cs="Arial"/>
          <w:bCs w:val="0"/>
          <w:vanish/>
          <w:sz w:val="16"/>
          <w:szCs w:val="16"/>
          <w:lang w:eastAsia="pl-PL"/>
        </w:rPr>
      </w:pPr>
      <w:bookmarkStart w:id="0" w:name="_GoBack"/>
      <w:bookmarkEnd w:id="0"/>
      <w:r w:rsidRPr="00A40683">
        <w:rPr>
          <w:rFonts w:eastAsia="Times New Roman" w:cs="Arial"/>
          <w:bCs w:val="0"/>
          <w:vanish/>
          <w:sz w:val="16"/>
          <w:szCs w:val="16"/>
          <w:lang w:eastAsia="pl-PL"/>
        </w:rPr>
        <w:lastRenderedPageBreak/>
        <w:t>Dół formularza</w:t>
      </w:r>
    </w:p>
    <w:p w:rsidR="00B62C5A" w:rsidRPr="00A40683" w:rsidRDefault="00B62C5A" w:rsidP="00A40683">
      <w:pPr>
        <w:rPr>
          <w:sz w:val="16"/>
          <w:szCs w:val="16"/>
        </w:rPr>
      </w:pPr>
    </w:p>
    <w:sectPr w:rsidR="00B62C5A" w:rsidRPr="00A4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83"/>
    <w:rsid w:val="003E207E"/>
    <w:rsid w:val="004C7623"/>
    <w:rsid w:val="00A40683"/>
    <w:rsid w:val="00B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3"/>
    <w:pPr>
      <w:ind w:firstLine="426"/>
      <w:outlineLvl w:val="5"/>
    </w:pPr>
    <w:rPr>
      <w:rFonts w:ascii="Verdana" w:hAnsi="Verdana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40683"/>
    <w:pPr>
      <w:pBdr>
        <w:bottom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406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0683"/>
    <w:pPr>
      <w:spacing w:before="100" w:beforeAutospacing="1" w:after="100" w:afterAutospacing="1"/>
      <w:ind w:firstLine="0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0683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40683"/>
    <w:pPr>
      <w:pBdr>
        <w:top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406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683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3"/>
    <w:pPr>
      <w:ind w:firstLine="426"/>
      <w:outlineLvl w:val="5"/>
    </w:pPr>
    <w:rPr>
      <w:rFonts w:ascii="Verdana" w:hAnsi="Verdana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40683"/>
    <w:pPr>
      <w:pBdr>
        <w:bottom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406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0683"/>
    <w:pPr>
      <w:spacing w:before="100" w:beforeAutospacing="1" w:after="100" w:afterAutospacing="1"/>
      <w:ind w:firstLine="0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0683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40683"/>
    <w:pPr>
      <w:pBdr>
        <w:top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4068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683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3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6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1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4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5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85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4c8b786d-6396-4f39-8492-6ce4c0cc8e21&amp;path=2017%5c02%5c20170207%5c21157_20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t.umelbla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2734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1</cp:revision>
  <dcterms:created xsi:type="dcterms:W3CDTF">2017-02-07T12:40:00Z</dcterms:created>
  <dcterms:modified xsi:type="dcterms:W3CDTF">2017-02-07T12:41:00Z</dcterms:modified>
</cp:coreProperties>
</file>