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6" w:rsidRPr="00FD4876" w:rsidRDefault="00FD4876" w:rsidP="00FD4876">
      <w:pPr>
        <w:pBdr>
          <w:bottom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r w:rsidRPr="00FD4876">
        <w:rPr>
          <w:rFonts w:eastAsia="Times New Roman" w:cs="Arial"/>
          <w:bCs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FD4876" w:rsidRPr="00FD4876" w:rsidTr="00FD48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hyperlink r:id="rId5" w:tgtFrame="_blank" w:history="1">
              <w:r w:rsidRPr="00FD4876">
                <w:rPr>
                  <w:rFonts w:eastAsia="Times New Roman" w:cs="Times New Roman"/>
                  <w:bCs w:val="0"/>
                  <w:color w:val="0000FF"/>
                  <w:sz w:val="16"/>
                  <w:szCs w:val="16"/>
                  <w:u w:val="single"/>
                  <w:lang w:eastAsia="pl-PL"/>
                </w:rPr>
                <w:t>http://www.ept.umelblag.pl/</w:t>
              </w:r>
            </w:hyperlink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Ogłoszenie nr 19050 - 2017 z dnia 2017-02-02 r. </w:t>
            </w:r>
          </w:p>
          <w:p w:rsidR="00FD4876" w:rsidRPr="00FD4876" w:rsidRDefault="00FD4876" w:rsidP="00FD4876">
            <w:pPr>
              <w:ind w:firstLine="0"/>
              <w:jc w:val="center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Elbląg: na usługę wykonania prototypu detektora utleniająco-</w:t>
            </w:r>
            <w:proofErr w:type="spellStart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metanizującego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OGŁOSZENIE O ZAMÓWIENIU - Usługi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Zamieszczanie ogłoszenia: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obowiązkowe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Ogłoszenie dotyczy: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zamówienia publicznego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Zamówienie dotyczy projektu lub programu współfinansowanego ze środków Unii Europejskiej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Nazwa projektu lub programu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Program Operacyjny Rozwój Polski Wschodniej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Pzp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>SEKCJA I: ZAMAWIAJĄCY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centralny zamawiający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Informacje na temat podmiotu któremu zamawiający powierzył/powierzyli prowadzenie </w:t>
            </w:r>
            <w:proofErr w:type="spellStart"/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postępowania: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Podmiot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któremu Zamawiający powierzył przygotowanie i przeprowadzenie postępowania na podstawie art. 15 ust. 2 ustawy: Pomorska Grupa Doradcza ul. Zbożowa 7/46, 81-020 Gdynia Adres poczty elektronicznej: przetargi@kamilzbroja.eu Numer telefonu: 500 205 198; Numer faksu: 58 620 80 57; www.kamilzbroja.eu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Postępowanie jest przeprowadzane wspólnie przez zamawiających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Informacje dodatkowe: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1) NAZWA I ADRES: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Elbląski Park Technologiczny, krajowy numer identyfikacyjny 28059440700000, ul. ul. Stanisława Sulimy  1, 82300   Elbląg, woj. warmińsko-mazurskie, państwo Polska, tel. 55 239 34 67, e-mail biuro@ept.umelblag.pl, faks 55 237 47 61.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Adres strony internetowej (URL): http://www.ept.umelblag.pl/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2) RODZAJ ZAMAWIAJĄCEGO: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Administracja samorządowa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I.3) WSPÓLNE UDZIELANIE ZAMÓWIENIA </w:t>
            </w:r>
            <w:r w:rsidRPr="00FD4876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(jeżeli dotyczy)</w:t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I.4) KOMUNIKACJA: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Nieograniczony, pełny i bezpośredni dostęp do dokumentów z postępowania można uzyskać pod adresem (URL)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http://www.ept.umelblag.pl/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http://www.ept.umelblag.pl/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Oferty lub wnioski o dopuszczenie do udziału w postępowaniu należy przesyłać: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Elektronicznie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Dopuszczone jest przesłanie ofert lub wniosków o dopuszczenie do udziału w postępowaniu w inny sposób: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Wymagane jest przesłanie ofert lub wniosków o dopuszczenie do udziału w postępowaniu w inny sposób: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Inny sposób: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Pisemnie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82-300 Elbląg, ul. S. Sulimy 1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II: PRZEDMIOT ZAMÓWIENIA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II.1) Nazwa nadana zamówieniu przez zamawiającego: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na usługę wykonania prototypu detektora utleniająco-</w:t>
            </w:r>
            <w:proofErr w:type="spellStart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metanizującego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Numer referencyjny: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EPT.271.6.2017.AO/1.1.1.POPW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Przed wszczęciem postępowania o udzielenie zamówienia przeprowadzono dialog techniczny </w:t>
            </w:r>
          </w:p>
          <w:p w:rsidR="00FD4876" w:rsidRPr="00FD4876" w:rsidRDefault="00FD4876" w:rsidP="00FD4876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II.2) Rodzaj zamówienia: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usługi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II.3) Informacja o możliwości składania ofert częściowych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podzielone jest na części: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II.4) Krótki opis przedmiotu zamówienia </w:t>
            </w:r>
            <w:r w:rsidRPr="00FD487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 )</w:t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Zamówienie na rzecz inkubowanego podmiotu: </w:t>
            </w:r>
            <w:proofErr w:type="spellStart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GCInstruments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Sp. z o. o. 1. Na podstawie art. 9a ustawy prawo zamówień publicznych oferty mogą zostać złożone jedynie po sprawdzeniu przez Wykonawcę dokumentów niezbędnych do realizacji zamówienia udostępnianych w siedzibie zamawiającego po podpisaniu umowy zachowania tajemnicy przedsiębiorstwa będącego odbiorcą usługi. 2. Wykonawcy zainteresowani złożeniem ofert oraz zapoznaniem się z dokumentacją winni ustalić termin spotkania z Zamawiającym z minimum jednodniowym wyprzedzeniem. 3. Przedmiotem zamówienia jest wykonanie prototypu detektora utleniająco-</w:t>
            </w:r>
            <w:proofErr w:type="spellStart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metanizującego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- Wykonanie bloku detektora 50 mm x 50mm z aluminium lub miedzi; - Umieszczenie w bloku grzałki o mocy zdolnej utrzymać temperaturę 300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sym w:font="Symbol" w:char="F0B0"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C - Temperatura regulowana na programowanym regulatorze temperatury, - Wykonanie obwodu pneumatycznego na złączkach typu </w:t>
            </w:r>
            <w:proofErr w:type="spellStart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Swagelok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- zgodnie z dokumentacją, z którą można zapoznać się po spełnieniu warunków, o których mowa powyżej. 4. W trakcie realizacji zamówienia przewidziane są minimum trzy spotkania osobiste w celu omówienia zakresu i przebiegu prac w siedzibie Spółki lub innym miejscu dogodnym dla obu stron po uzgodnieniu ze Spółką i Zamawiającym. 5. W celu sprawdzenia dokumentów związanych z przedmiotem zamówienia zainteresowani Wykonawcy winni kontaktować się drogą elektroniczną na adres e-mail: kleinmare@gmail.com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II.5) Główny kod CPV: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72244000-7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II.6) Całkowita wartość zamówienia </w:t>
            </w:r>
            <w:r w:rsidRPr="00FD487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(jeżeli zamawiający podaje informacje o wartości zamówienia)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II.7) Czy przewiduje się udzielenie zamówień, o których mowa w art. 67 ust. 1 pkt 6 i 7 lub w art. 134 ust. 6 pkt 3 ustawy </w:t>
            </w:r>
            <w:proofErr w:type="spellStart"/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Okres w dniach: 30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II.9) Informacje dodatkowe: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III.1) WARUNKI UDZIAŁU W POSTĘPOWANIU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III.1.1) Kompetencje lub uprawnienia do prowadzenia określonej działalności zawodowej, o ile wynika to z odrębnych przepisów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III.1.2) Sytuacja finansowa lub ekonomiczna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III.1.3) Zdolność techniczna lub zawodowa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uzna warunek za spełniony jeżeli Wykonawca wykaże, że dysponuje i/lub będzie dysponował minimum jedną osobą, która posiada doświadczenie polegające na tym, że wykonała co najmniej jedną usługę o podobnym zakresie, które zostało wyprodukowane i wprowadzone do obrotu gospodarczego.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III.2) PODSTAWY WYKLUCZENIA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III.2.1) Podstawy wykluczenia określone w art. 24 ust. 1 ustawy </w:t>
            </w:r>
            <w:proofErr w:type="spellStart"/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niepodleganiu wykluczeniu oraz spełnianiu warunków udziału w postępowaniu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spełnianiu kryteriów selekcji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III.5.1) W ZAKRESIE SPEŁNIANIA WARUNKÓW UDZIAŁU W POSTĘPOWANIU: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III.5.2) W ZAKRESIE KRYTERIÓW SELEKCJI: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III.7) INNE DOKUMENTY NIE WYMIENIONE W pkt III.3) - III.6)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IV: PROCEDURA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IV.1) OPIS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IV.1.1) Tryb udzielenia zamówienia: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przetarg nieograniczony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IV.1.2) Zamawiający żąda wniesienia wadium: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IV.1.3) Przewiduje się udzielenie zaliczek na poczet wykonania zamówienia: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IV.1.5.) Wymaga się złożenia oferty wariantowej: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oferty wariantowej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Złożenie oferty wariantowej dopuszcza się tylko z jednoczesnym złożeniem oferty zasadniczej: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IV.1.6) Przewidywana liczba wykonawców, którzy zostaną zaproszeni do udziału w postępowaniu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ograniczony, negocjacje z ogłoszeniem, dialog konkurencyjny, partnerstwo innowacyjne)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Liczba wykonawców  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Przewidywana minimalna liczba wykonawców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Maksymalna liczba wykonawców  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Kryteria selekcji wykonawców: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IV.1.7) Informacje na temat umowy ramowej lub dynamicznego systemu zakupów: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Umowa ramowa będzie zawarta: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przewiduje się ograniczenie liczby uczestników umowy ramowej: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obejmuje ustanowienie dynamicznego systemu zakupów: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IV.1.8) Aukcja elektroniczna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Przewidziane jest przeprowadzenie aukcji elektronicznej </w:t>
            </w:r>
            <w:r w:rsidRPr="00FD487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nieograniczony, przetarg ograniczony, negocjacje z ogłoszeniem)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Należy wskazać elementy, których wartości będą przedmiotem aukcji elektronicznej: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ograniczenia co do przedstawionych wartości, wynikające z opisu przedmiotu zamówienia: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przebiegu aukcji elektronicznej: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rejestracji i identyfikacji wykonawców w aukcji elektronicznej: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o liczbie etapów aukcji elektronicznej i czasie ich trwania: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FD4876" w:rsidRPr="00FD4876" w:rsidTr="00FD4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FD4876" w:rsidRPr="00FD4876" w:rsidTr="00FD4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Warunki zamknięcia aukcji elektronicznej: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IV.2) KRYTERIA OCENY OFERT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IV.2.1) Kryteria oceny ofert: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5"/>
              <w:gridCol w:w="886"/>
            </w:tblGrid>
            <w:tr w:rsidR="00FD4876" w:rsidRPr="00FD4876" w:rsidTr="00FD4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FD4876" w:rsidRPr="00FD4876" w:rsidTr="00FD4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Całkowita cena brutto za zrealizowanie całości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FD4876" w:rsidRPr="00FD4876" w:rsidTr="00FD4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Doświadczenie osób wyznaczonych do realizacji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(przetarg nieograniczony)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IV.3) Negocjacje z ogłoszeniem, dialog konkurencyjny, partnerstwo innowacyjne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IV.3.1) Informacje na temat negocjacji z ogłoszeniem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Minimalne wymagania, które muszą spełniać wszystkie oferty: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Przewidziany jest podział negocjacji na etapy w celu ograniczenia liczby ofert: 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negocjacji (w tym liczbę etapów):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br/>
              <w:t xml:space="preserve">Informacje dodatkowe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IV.3.2) Informacje na temat dialogu konkurencyjnego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Opis potrzeb i wymagań zamawiającego lub informacja o sposobie uzyskania tego opisu: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Wstępny harmonogram postępowania: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dialogu na etapy w celu ograniczenia liczby rozwiązań: 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dialogu: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IV.3.3) Informacje na temat partnerstwa innowacyjnego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IV.4) Licytacja elektroniczna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Informacje o liczbie etapów licytacji elektronicznej i czasie ich trwania: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FD4876" w:rsidRPr="00FD4876" w:rsidTr="00FD4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FD4876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FD4876" w:rsidRPr="00FD4876" w:rsidTr="00FD4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876" w:rsidRPr="00FD4876" w:rsidRDefault="00FD4876" w:rsidP="00FD4876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otwarcia licytacji elektronicznej: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i warunki zamknięcia licytacji elektronicznej: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zabezpieczenia należytego wykonania umowy: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IV.5) ZMIANA UMOWY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IV.6) INFORMACJE ADMINISTRACYJNE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IV.6.1) Sposób udostępniania informacji o charakterze poufnym </w:t>
            </w:r>
            <w:r w:rsidRPr="00FD4876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(jeżeli dotyczy):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 podstawie art. 9a ustawy prawo zamówień publicznych oferty mogą zostać złożone jedynie po sprawdzeniu przez Wykonawcę dokumentów niezbędnych do realizacji zamówienia udostępnianych w siedzibie zamawiającego po podpisaniu umowy zachowania tajemnicy przedsiębiorstwa będącego odbiorcą usługi. Wykonawcy zainteresowani złożeniem ofert oraz zapoznaniem się z dokumentacją winni ustalić termin spotkania z Zamawiającym z minimum jednodniowym wyprzedzeniem. W celu sprawdzenia dokumentów związanych z przedmiotem zamówienia zainteresowani Wykonawcy winni kontaktować się drogą elektroniczną na adres e-mail: kleinmare@gmail.com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Środki służące ochronie informacji o charakterze poufnym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Podpisanie umowy zachowania tajemnicy przedsiębiorstwa będącego odbiorcą usługi.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IV.6.2) Termin składania ofert lub wniosków o dopuszczenie do udziału w postępowaniu: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Data: 09/02/2017, godzina: 10:00,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Wskazać powody: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br/>
              <w:t xml:space="preserve">Język lub języki, w jakich mogą być sporządzane oferty lub wnioski o dopuszczenie do udziału w postępowaniu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&gt;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IV.6.3) Termin związania ofertą: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okres w dniach: 30 (od ostatecznego terminu składania ofert)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FD4876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FD487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IV.6.6) Informacje dodatkowe:</w:t>
            </w:r>
          </w:p>
          <w:p w:rsidR="00FD4876" w:rsidRPr="00FD4876" w:rsidRDefault="00FD4876" w:rsidP="00FD4876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D4876" w:rsidRPr="00FD4876" w:rsidRDefault="00FD4876" w:rsidP="00FD4876">
            <w:pPr>
              <w:ind w:firstLine="0"/>
              <w:jc w:val="righ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FD4876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6DD3A746" wp14:editId="6BC5172C">
                  <wp:extent cx="155575" cy="155575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876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0316DECF" wp14:editId="1F6E6D5D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876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6A664B2C" wp14:editId="715EC547">
                  <wp:extent cx="155575" cy="155575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876" w:rsidRPr="00FD4876" w:rsidRDefault="00FD4876" w:rsidP="00FD4876">
      <w:pPr>
        <w:pBdr>
          <w:top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bookmarkStart w:id="0" w:name="_GoBack"/>
      <w:bookmarkEnd w:id="0"/>
      <w:r w:rsidRPr="00FD4876">
        <w:rPr>
          <w:rFonts w:eastAsia="Times New Roman" w:cs="Arial"/>
          <w:bCs w:val="0"/>
          <w:vanish/>
          <w:sz w:val="16"/>
          <w:szCs w:val="16"/>
          <w:lang w:eastAsia="pl-PL"/>
        </w:rPr>
        <w:lastRenderedPageBreak/>
        <w:t>Dół formularza</w:t>
      </w:r>
    </w:p>
    <w:p w:rsidR="00B62C5A" w:rsidRPr="00FD4876" w:rsidRDefault="00B62C5A" w:rsidP="00FD4876">
      <w:pPr>
        <w:rPr>
          <w:sz w:val="16"/>
          <w:szCs w:val="16"/>
        </w:rPr>
      </w:pPr>
    </w:p>
    <w:sectPr w:rsidR="00B62C5A" w:rsidRPr="00FD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6"/>
    <w:rsid w:val="003E207E"/>
    <w:rsid w:val="004C7623"/>
    <w:rsid w:val="00B62C5A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4876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48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4876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87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4876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48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76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4876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48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4876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87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4876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48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7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42c35562-a839-4fa2-8ca2-528034b56418&amp;path=2017%5c02%5c20170202%5c19050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t.umelblag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2017-02-02T14:11:00Z</dcterms:created>
  <dcterms:modified xsi:type="dcterms:W3CDTF">2017-02-02T14:11:00Z</dcterms:modified>
</cp:coreProperties>
</file>