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B7B6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476/2015</w:t>
      </w:r>
      <w:r>
        <w:rPr>
          <w:b/>
          <w:caps/>
        </w:rPr>
        <w:br/>
        <w:t>Prezydenta Miasta Elbląg</w:t>
      </w:r>
    </w:p>
    <w:p w:rsidR="00A77B3E" w:rsidRDefault="001B7B6A">
      <w:pPr>
        <w:spacing w:before="280" w:after="280"/>
        <w:jc w:val="center"/>
        <w:rPr>
          <w:b/>
          <w:caps/>
        </w:rPr>
      </w:pPr>
      <w:r>
        <w:t>z dnia 4 grudnia 2015 r.</w:t>
      </w:r>
    </w:p>
    <w:p w:rsidR="00A77B3E" w:rsidRDefault="001B7B6A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1B7B6A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poz.1774 z </w:t>
      </w:r>
      <w:proofErr w:type="spellStart"/>
      <w:r>
        <w:t>późn</w:t>
      </w:r>
      <w:proofErr w:type="spellEnd"/>
      <w:r>
        <w:t>. zm.)</w:t>
      </w:r>
    </w:p>
    <w:p w:rsidR="00A77B3E" w:rsidRDefault="001B7B6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B35DF" w:rsidRDefault="001B7B6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B7B6A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</w:t>
      </w:r>
      <w:r>
        <w:t>a.</w:t>
      </w:r>
    </w:p>
    <w:p w:rsidR="00A77B3E" w:rsidRDefault="001B7B6A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0B35DF" w:rsidRDefault="001B7B6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B7B6A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1B7B6A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 ponadto informacja o jego wy</w:t>
      </w:r>
      <w:r>
        <w:t>wieszeniu podana zostanie do wiadomości publicznej poprzez ogłoszenie w prasie lokalnej.</w:t>
      </w:r>
    </w:p>
    <w:p w:rsidR="000B35DF" w:rsidRDefault="001B7B6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B7B6A">
      <w:pPr>
        <w:keepLines/>
        <w:spacing w:before="120" w:after="120"/>
      </w:pPr>
      <w:r>
        <w:t>Wykonanie zarządzenia powierza się Dyrektorowi Zarządu Budynków Komunalnych w Elblągu.</w:t>
      </w:r>
    </w:p>
    <w:p w:rsidR="000B35DF" w:rsidRDefault="001B7B6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B7B6A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1B7B6A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</w:t>
      </w:r>
      <w:r>
        <w:t>znik Nr 1 do Zarządzenia nr 476/ 2015 Prezydenta  Miasta  Elbląg z dnia 4 grudnia 2015 r.</w:t>
      </w:r>
    </w:p>
    <w:p w:rsidR="00A77B3E" w:rsidRDefault="001B7B6A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1B7B6A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2109"/>
        <w:gridCol w:w="1912"/>
        <w:gridCol w:w="1002"/>
        <w:gridCol w:w="1578"/>
        <w:gridCol w:w="926"/>
        <w:gridCol w:w="2216"/>
        <w:gridCol w:w="1988"/>
        <w:gridCol w:w="1851"/>
      </w:tblGrid>
      <w:tr w:rsidR="000B35DF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całkowita działki w ha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 czynszu</w:t>
            </w:r>
          </w:p>
        </w:tc>
      </w:tr>
      <w:tr w:rsidR="000B35DF">
        <w:trPr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0B35DF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Adama Mickiewicza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EL1E/00031927/3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455/3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 xml:space="preserve">1,04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7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7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108/103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7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108/115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108/146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108/156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 xml:space="preserve">Dojazdowa 14b </w:t>
            </w:r>
            <w:r>
              <w:rPr>
                <w:sz w:val="20"/>
              </w:rPr>
              <w:t>(budynek 1a)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48,03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14b (budynek 5a)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magazynową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887,75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14g (budynek 1)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magazynową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40,72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14g (budynek 1)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14g (budynek 2)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produkcyjną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304,54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14g (budynek 10)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magazynową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95,86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5,27 zł/m2/m-c</w:t>
            </w:r>
          </w:p>
        </w:tc>
      </w:tr>
      <w:tr w:rsidR="000B35DF">
        <w:trPr>
          <w:trHeight w:val="73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14g (budynek 15)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353,33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7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 przyległego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7843,36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410,44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 xml:space="preserve">0,85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Dojazdowa 14e (budynek 16)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1/32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0,0466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68,82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Skrzydlata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EL1E/00058618/9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643/8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5,86 zł/m2/m-c</w:t>
            </w:r>
          </w:p>
        </w:tc>
      </w:tr>
      <w:tr w:rsidR="000B35DF">
        <w:trPr>
          <w:trHeight w:val="8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Malborska G109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872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Malborska 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94/3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0,4370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części ściany celem umieszczenia tablicy reklamowej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70,00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EL1E/00065088/6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404/1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0,0554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 na</w:t>
            </w:r>
            <w:r>
              <w:rPr>
                <w:sz w:val="20"/>
              </w:rPr>
              <w:t xml:space="preserve"> cele mieszkaniowe spółdzielni mieszkaniowej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(dot. budynku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lastRenderedPageBreak/>
              <w:t>ul. Robotnicza 45 i 47)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lastRenderedPageBreak/>
              <w:t>321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EL1E/00065088/6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404/1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0,0554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 na cele mieszkaniowe spółdzielni mieszkaniowej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(dot. budynku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ul. Browarnej 7-10)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0,24</w:t>
            </w:r>
            <w:r>
              <w:rPr>
                <w:sz w:val="20"/>
              </w:rPr>
              <w:t xml:space="preserve">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Królewiecka 129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EL1E/00031834/4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0,0912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ul. Królewieckiej 129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912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Kapitana Diaczenki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12/39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0,8885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wspólnoty mieszkaniowej przy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ul. Nowowiejska 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2016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0B35DF">
        <w:trPr>
          <w:trHeight w:val="9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91/63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7,41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201/13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0,0045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ul. </w:t>
            </w:r>
            <w:proofErr w:type="spellStart"/>
            <w:r>
              <w:rPr>
                <w:sz w:val="20"/>
              </w:rPr>
              <w:t>C.Skłodowskiej</w:t>
            </w:r>
            <w:proofErr w:type="spellEnd"/>
            <w:r>
              <w:rPr>
                <w:sz w:val="20"/>
              </w:rPr>
              <w:t xml:space="preserve"> 12,14,16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Malborska G73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908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Romualda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Traugutta 57,58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EL1E/00033271/3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337/2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0,0992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handlową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58,00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8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Andrzeja Struga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EL1E/0004522/0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0,0028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lastRenderedPageBreak/>
              <w:t>38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</w:t>
            </w:r>
            <w:r>
              <w:rPr>
                <w:sz w:val="20"/>
              </w:rPr>
              <w:t xml:space="preserve">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108/225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EL1E/00038258/1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273/2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0,3644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na działalność handlową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45,00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Jaszczurczego 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Najem lokalu na działalność w zakresie zarządzania nieruchomościami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33,60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19,37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B35DF">
        <w:trPr>
          <w:trHeight w:val="10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1B7B6A">
            <w:pPr>
              <w:jc w:val="center"/>
            </w:pPr>
            <w:r>
              <w:rPr>
                <w:sz w:val="20"/>
              </w:rPr>
              <w:t>Jaszczurczego 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 xml:space="preserve">Najem lokalu na działalność statutową organizacji </w:t>
            </w:r>
            <w:r>
              <w:rPr>
                <w:sz w:val="20"/>
              </w:rPr>
              <w:t>pozarządowej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32,30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7B6A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B7B6A">
      <w:pPr>
        <w:spacing w:before="120" w:after="120"/>
      </w:pPr>
      <w:r>
        <w:t>Czynsz określony w skali miesiąca płatny jest do dnia 10 każdego miesiąca. Czynsz określony w skali roku płatny jest do 31 marca każdego roku. </w:t>
      </w:r>
    </w:p>
    <w:p w:rsidR="00A77B3E" w:rsidRDefault="001B7B6A">
      <w:pPr>
        <w:spacing w:before="120" w:after="120"/>
      </w:pPr>
      <w:r>
        <w:t xml:space="preserve">Podany w tabeli czynsz za grunty/lokale oddawane w dzierżawę/najem w drodze </w:t>
      </w:r>
      <w:r>
        <w:t>przetargu określa stawkę wyjściową do przetargu. </w:t>
      </w:r>
    </w:p>
    <w:p w:rsidR="00A77B3E" w:rsidRDefault="001B7B6A">
      <w:pPr>
        <w:spacing w:before="120" w:after="120"/>
      </w:pPr>
      <w:r>
        <w:t>Zmiana czynszu może nastąpić w przypadku zmiany zarządzenia Prezydenta Miasta Elbląga w sprawie ustalenia stawek czynszu za dzierżawę i najem nieruchomości stanowiących 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DF"/>
    <w:rsid w:val="000B35DF"/>
    <w:rsid w:val="001B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564B17-FDFF-406B-A5EF-D09180D9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1008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476/2015 z dnia 4 grudnia 2015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2016-12-14T12:03:00Z</dcterms:created>
  <dcterms:modified xsi:type="dcterms:W3CDTF">2016-12-14T12:03:00Z</dcterms:modified>
  <cp:category>Akt prawny</cp:category>
</cp:coreProperties>
</file>