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0D9" w:rsidRDefault="003630D9" w:rsidP="003630D9">
      <w:pPr>
        <w:jc w:val="right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Załącznik Nr 1 do Umowy</w:t>
      </w:r>
    </w:p>
    <w:p w:rsidR="003630D9" w:rsidRDefault="003630D9" w:rsidP="003630D9">
      <w:pPr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Opis przedmiotu zamówienia wraz z uzupełnieniem.</w:t>
      </w:r>
    </w:p>
    <w:tbl>
      <w:tblPr>
        <w:tblStyle w:val="Tabela-Siatka"/>
        <w:tblpPr w:leftFromText="141" w:rightFromText="141" w:vertAnchor="page" w:horzAnchor="margin" w:tblpY="3271"/>
        <w:tblW w:w="9606" w:type="dxa"/>
        <w:tblLook w:val="04A0" w:firstRow="1" w:lastRow="0" w:firstColumn="1" w:lastColumn="0" w:noHBand="0" w:noVBand="1"/>
      </w:tblPr>
      <w:tblGrid>
        <w:gridCol w:w="582"/>
        <w:gridCol w:w="1936"/>
        <w:gridCol w:w="7088"/>
      </w:tblGrid>
      <w:tr w:rsidR="003630D9" w:rsidTr="003630D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Nazwa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Opis</w:t>
            </w:r>
          </w:p>
        </w:tc>
      </w:tr>
      <w:tr w:rsidR="003630D9" w:rsidTr="003630D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Laptop z oprogramowaniem i wyposażeniem.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pStyle w:val="Akapitzlist"/>
              <w:ind w:left="0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Uniwersalny, multimedialny laptop, zapewniający szybką i stabilną pracę w aplikacjach biurowych typu MS Office 2010, przeglądaniu Internetu, a także w aplikacjach wykorzystujących nowoczesną grafikę 3D  (DX11), dedykowana karta graficzna.  Przekątna ekranu 15-16”, nominalna rozdzielczość ekranu 1366 x 768 pikseli, ekran błyszczący. Wysokowydajny procesor wielordzeniowy, wspierający architekturę 64 bitową, przeznaczony do komputerów przenośnych osiągający min</w:t>
            </w:r>
            <w:r w:rsidR="00080FDF">
              <w:rPr>
                <w:rFonts w:ascii="Tahoma" w:hAnsi="Tahoma" w:cs="Tahoma"/>
                <w:color w:val="000000"/>
                <w:sz w:val="18"/>
                <w:szCs w:val="18"/>
              </w:rPr>
              <w:t>imalną wydajność na poziomie 380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0 pkt w testach dostępnych na stronie </w:t>
            </w:r>
            <w:hyperlink r:id="rId8" w:history="1">
              <w:r>
                <w:rPr>
                  <w:rStyle w:val="Hipercze"/>
                  <w:rFonts w:ascii="Tahoma" w:hAnsi="Tahoma" w:cs="Tahoma"/>
                  <w:color w:val="000000"/>
                  <w:sz w:val="18"/>
                  <w:szCs w:val="18"/>
                </w:rPr>
                <w:t>http://www.cpubenchmark.net/cpu_list.php</w:t>
              </w:r>
            </w:hyperlink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. Pamięć ram minimum 8 GB, pojemność pamięci dyskowej minimum 500 GB, wbudowany napęd optyczny DVD+/-RW DL, możliwość podłączenia notebooka do telewizora poprzez wyjście HDMI, akumulator umożliwiający pracę notebooka przez minimum 2 godziny (małe obciążenie - przeglądanie Internetu, aplikacje biurowe), wyjście słuchawek i mikrofonu, wbudowany czytnik kart pamięci umożliwiający odczyt kart SD, komunikacja poprzez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</w:rPr>
              <w:t>WiFi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</w:rPr>
              <w:t>Lan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(RJ45), Bluetooth. Złącza USB minimum 4 szt. Wbudowana kamera i mikrofon umożliwiające komunikację video</w:t>
            </w:r>
            <w:r w:rsidR="00CE47D3">
              <w:rPr>
                <w:rFonts w:ascii="Tahoma" w:hAnsi="Tahoma" w:cs="Tahoma"/>
                <w:color w:val="000000"/>
                <w:sz w:val="18"/>
                <w:szCs w:val="18"/>
              </w:rPr>
              <w:t>, nieduża waga maksymalnie 3 kg,  wbudowany modem 3G.</w:t>
            </w:r>
          </w:p>
          <w:p w:rsidR="003630D9" w:rsidRDefault="003630D9">
            <w:pPr>
              <w:pStyle w:val="Akapitzlist"/>
              <w:ind w:left="0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Zainstalowane oprogramowanie: </w:t>
            </w:r>
          </w:p>
          <w:p w:rsidR="003630D9" w:rsidRDefault="003630D9">
            <w:pPr>
              <w:pStyle w:val="Akapitzlist"/>
              <w:ind w:left="0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System operacyjny MS Windows 7 Professional PL 64 bity lub równoważny w pełni współpracujący z systemem informatycznym Zamawiającego.  Pełny opis kryteriów równoważnych znajduje się w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uzupełnieniu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załącznika nr 1 do Umowy.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Pakiet biurowy MS Office 2010 PL Dom i Małe firmy lub równoważny w pełni współpracujący z systemem informatycznym Zamawiającego.  Pełny opis kryteriów równoważnych znajduje się w 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uzupełnieniu załącznika nr 1 do Umowy.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Oprogramowanie do nagrywarki oraz wszelkie oprogramowanie umożliwiające wykorzystanie w pełni wyposażenia notebooka jeśli dostarczone było przez producenta. Dodatkowo zainstalowany </w:t>
            </w:r>
            <w:r>
              <w:rPr>
                <w:rFonts w:ascii="Tahoma" w:hAnsi="Tahoma" w:cs="Tahoma"/>
                <w:sz w:val="18"/>
                <w:szCs w:val="18"/>
              </w:rPr>
              <w:t>multimedialny słownik angielsko-polski, polsko-angielski – licencja pełna, jednostanowiskowa, bezterminowa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. Opis: minimum 800 000 haseł, słownictwo ogólne oraz terminy specjalistyczne, nagrania prawidłowej wymowy podstawowych form wyrazów angielskich, wyszukiwanie słów i zwrotów wg. różnych kategorii, możliwość tworzenia dodatkowego słownika z hasłami specjalistycznymi, informacje gramatyczne języka polskiego i angielskiego, formy nieregularne, informacje o składni, przykłady użycia haseł z tłumaczeniem.</w:t>
            </w:r>
          </w:p>
          <w:p w:rsidR="003630D9" w:rsidRDefault="003630D9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 komplecie torba i mysz optyczna do notebooka.</w:t>
            </w:r>
          </w:p>
          <w:p w:rsidR="003630D9" w:rsidRDefault="003630D9">
            <w:pPr>
              <w:spacing w:line="276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Ilość 3 szt.</w:t>
            </w:r>
          </w:p>
        </w:tc>
      </w:tr>
      <w:tr w:rsidR="003630D9" w:rsidTr="003630D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Skaner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Szybki skaner dwustronny biurkowy o kompaktowych rozmiarach, podwójny przetwornik CIS - skanowanie kartki jednocześnie z dwóch stron, dodatkowo z możliwością skanowania kart kredytowych i innych dokumentów plastikowych, podajnik o pojemności minimum 50 kartek,  możliwość skanowania do 20 stron na minutę (w  skali szarości), obciążenie dzienne minimum 1000 kartek,  rozdzielczość optyczna minimum 600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dpi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, pakiet OCR PL w zestawie, możliwość skanowania do PDF, podłączenie do komputera USB 2.0, obsługa języka polskiego, sterownik TWAIN kompatybilny z MS Windows XP/Vista,7, 8 </w:t>
            </w:r>
          </w:p>
          <w:p w:rsidR="003630D9" w:rsidRDefault="003630D9">
            <w:pPr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Ilość 1 szt.</w:t>
            </w:r>
          </w:p>
        </w:tc>
      </w:tr>
      <w:tr w:rsidR="003630D9" w:rsidTr="003630D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Drukarka laserowa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Drukarka laserowa lub LED, kolorowa do zastosowań biurowych,  A4, automatyczny druk dwustronny w standardzie, prędkość druku w kolorze minimum 15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str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/ min., obciążenie miesięczne minimum 20 000 str., pojemność podajnika papieru (łącznie) minimum 250 szt., złącza USB 2.0, Ethernet 10/100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Mbps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. Współpraca z systemami operacyjnymi: MS Windows XP, Vista, 7, 8.</w:t>
            </w:r>
          </w:p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Ilość 1 szt.</w:t>
            </w:r>
          </w:p>
        </w:tc>
      </w:tr>
      <w:tr w:rsidR="003630D9" w:rsidTr="003630D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D9" w:rsidRDefault="003630D9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Toner i bęben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E69" w:rsidRPr="00A12E69" w:rsidRDefault="003630D9" w:rsidP="00A12E6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Komplet bęben (jeśli występuje) i toner – wszystkie kolory o zwiększonej pojemności  </w:t>
            </w:r>
            <w:r w:rsidRPr="004A36DE">
              <w:rPr>
                <w:rFonts w:ascii="Tahoma" w:hAnsi="Tahoma" w:cs="Tahoma"/>
                <w:sz w:val="18"/>
                <w:szCs w:val="18"/>
              </w:rPr>
              <w:t>do dostarczonej drukarki laserowej. Ilość 9 szt.</w:t>
            </w:r>
            <w:r w:rsidR="00A12E69" w:rsidRPr="004A36DE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12E69" w:rsidRPr="004A36DE">
              <w:t>(</w:t>
            </w:r>
            <w:r w:rsidR="00A12E69" w:rsidRPr="004A36DE">
              <w:rPr>
                <w:rFonts w:ascii="Tahoma" w:hAnsi="Tahoma" w:cs="Tahoma"/>
                <w:sz w:val="18"/>
                <w:szCs w:val="18"/>
              </w:rPr>
              <w:t xml:space="preserve">jeśli występuje jeden bęben: 1 szt. x bęben, 2 szt. x toner czarny,  2 szt. x toner purpurowy, 2 szt. x toner błękitny, 2 szt. x toner </w:t>
            </w:r>
            <w:r w:rsidR="00C24CE8" w:rsidRPr="004A36DE">
              <w:rPr>
                <w:rFonts w:ascii="Tahoma" w:hAnsi="Tahoma" w:cs="Tahoma"/>
                <w:sz w:val="18"/>
                <w:szCs w:val="18"/>
              </w:rPr>
              <w:t xml:space="preserve">żółty; lub </w:t>
            </w:r>
            <w:r w:rsidR="00A12E69" w:rsidRPr="004A36DE">
              <w:rPr>
                <w:rFonts w:ascii="Tahoma" w:hAnsi="Tahoma" w:cs="Tahoma"/>
                <w:sz w:val="18"/>
                <w:szCs w:val="18"/>
              </w:rPr>
              <w:t xml:space="preserve">jeśli występują cztery  rodzaje bębna: 4 szt. </w:t>
            </w:r>
            <w:bookmarkStart w:id="0" w:name="_GoBack"/>
            <w:bookmarkEnd w:id="0"/>
            <w:r w:rsidR="00A12E69" w:rsidRPr="004A36DE">
              <w:rPr>
                <w:rFonts w:ascii="Tahoma" w:hAnsi="Tahoma" w:cs="Tahoma"/>
                <w:sz w:val="18"/>
                <w:szCs w:val="18"/>
              </w:rPr>
              <w:t>x bęben, 2 szt. x toner czarny,  1 szt. x toner purpurowy, 1 szt. x toner</w:t>
            </w:r>
            <w:r w:rsidR="00C24CE8" w:rsidRPr="004A36DE">
              <w:rPr>
                <w:rFonts w:ascii="Tahoma" w:hAnsi="Tahoma" w:cs="Tahoma"/>
                <w:sz w:val="18"/>
                <w:szCs w:val="18"/>
              </w:rPr>
              <w:t xml:space="preserve"> błękitny, 1 szt. x toner żółty;</w:t>
            </w:r>
            <w:r w:rsidR="00A12E69" w:rsidRPr="004A36DE">
              <w:rPr>
                <w:rFonts w:ascii="Tahoma" w:hAnsi="Tahoma" w:cs="Tahoma"/>
                <w:sz w:val="18"/>
                <w:szCs w:val="18"/>
              </w:rPr>
              <w:t xml:space="preserve"> lub jeśli </w:t>
            </w:r>
            <w:r w:rsidR="00A12E69" w:rsidRPr="004A36DE">
              <w:rPr>
                <w:rFonts w:ascii="Tahoma" w:hAnsi="Tahoma" w:cs="Tahoma"/>
                <w:sz w:val="18"/>
                <w:szCs w:val="18"/>
              </w:rPr>
              <w:lastRenderedPageBreak/>
              <w:t>nie ma bębna: 3 szt. x toner czarny,  2 szt. x toner purpurowy, 2 szt. x toner błękitny, 2 szt. x toner żółty)</w:t>
            </w:r>
            <w:r w:rsidR="000803AF" w:rsidRPr="004A36DE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3630D9" w:rsidRDefault="003630D9" w:rsidP="00A12E6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630D9" w:rsidTr="003630D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5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Papier ksero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D9" w:rsidRDefault="003630D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Papier ksero A4 5x500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szt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, minimum 80gr/m2, CIE minimum 146. </w:t>
            </w:r>
          </w:p>
          <w:p w:rsidR="003630D9" w:rsidRDefault="003630D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6 szt.  </w:t>
            </w:r>
          </w:p>
        </w:tc>
      </w:tr>
    </w:tbl>
    <w:p w:rsidR="003630D9" w:rsidRDefault="003630D9" w:rsidP="003630D9">
      <w:pPr>
        <w:rPr>
          <w:rFonts w:ascii="Tahoma" w:hAnsi="Tahoma" w:cs="Tahoma"/>
        </w:rPr>
      </w:pPr>
    </w:p>
    <w:p w:rsidR="003630D9" w:rsidRDefault="003630D9" w:rsidP="003630D9">
      <w:pPr>
        <w:tabs>
          <w:tab w:val="left" w:pos="1860"/>
        </w:tabs>
        <w:jc w:val="right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  <w:b/>
          <w:sz w:val="24"/>
          <w:szCs w:val="24"/>
        </w:rPr>
        <w:t>Uzupełnienie załącznika Nr 1 do Umowy</w:t>
      </w:r>
    </w:p>
    <w:p w:rsidR="003630D9" w:rsidRDefault="003630D9" w:rsidP="003630D9">
      <w:pPr>
        <w:tabs>
          <w:tab w:val="left" w:pos="1860"/>
        </w:tabs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Opis kryteriów równoważnych.</w:t>
      </w:r>
    </w:p>
    <w:p w:rsidR="003630D9" w:rsidRDefault="003630D9" w:rsidP="003630D9">
      <w:pPr>
        <w:tabs>
          <w:tab w:val="left" w:pos="1860"/>
        </w:tabs>
        <w:jc w:val="right"/>
        <w:rPr>
          <w:rFonts w:ascii="Tahoma" w:hAnsi="Tahoma" w:cs="Tahoma"/>
        </w:rPr>
      </w:pPr>
    </w:p>
    <w:p w:rsidR="003630D9" w:rsidRDefault="003630D9" w:rsidP="003630D9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System operacyjny</w:t>
      </w:r>
    </w:p>
    <w:p w:rsidR="003630D9" w:rsidRDefault="003630D9" w:rsidP="003630D9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 oprogramowanie równoważne Microsoft </w:t>
      </w:r>
      <w:proofErr w:type="spellStart"/>
      <w:r>
        <w:rPr>
          <w:rFonts w:ascii="Tahoma" w:hAnsi="Tahoma" w:cs="Tahoma"/>
          <w:sz w:val="18"/>
          <w:szCs w:val="18"/>
        </w:rPr>
        <w:t>Widows</w:t>
      </w:r>
      <w:proofErr w:type="spellEnd"/>
      <w:r>
        <w:rPr>
          <w:rFonts w:ascii="Tahoma" w:hAnsi="Tahoma" w:cs="Tahoma"/>
          <w:sz w:val="18"/>
          <w:szCs w:val="18"/>
        </w:rPr>
        <w:t xml:space="preserve"> 7 Professional (PL) uznaje się oprogramowanie, które spełnia następujące wymagania: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Obsługa trybu Windows XP (XP </w:t>
      </w:r>
      <w:proofErr w:type="spellStart"/>
      <w:r>
        <w:rPr>
          <w:rFonts w:ascii="Tahoma" w:hAnsi="Tahoma" w:cs="Tahoma"/>
          <w:sz w:val="18"/>
          <w:szCs w:val="18"/>
        </w:rPr>
        <w:t>Mode</w:t>
      </w:r>
      <w:proofErr w:type="spellEnd"/>
      <w:r>
        <w:rPr>
          <w:rFonts w:ascii="Tahoma" w:hAnsi="Tahoma" w:cs="Tahoma"/>
          <w:sz w:val="18"/>
          <w:szCs w:val="18"/>
        </w:rPr>
        <w:t>).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Pełna zgodność z domeną Active Directory w wersji na Windows 2003 Serwer.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Współpraca z następującymi aplikacjami (obsługa natywna, bez wspierania się emulatorem): Microsoft Office 95/97/2000/XP/2003/2010.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Zaimplementowana w systemie obsługa aplikacji zgodnych z podsystemami Win16 i Win32.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Możliwość zainstalowania Microsoft .NET Framework.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Obsługa rozszerzonego pulpitu.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Personalizacja pulpitu.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Zintegrowana z systemem pełna obsługa stylów wizualnych oraz napędów CD-RW, DVD-RW (odczyt i zapis).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Możliwość dokonywania aktualizacji i poprawek systemu przez Internet z możliwością wyboru instalowanych poprawek.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Możliwość dokonywania uaktualnień sterowników urządzeń przez Internet – witrynę producenta systemu.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Darmowe aktualizacje w ramach wersji systemu operacyjnego przez Internet (niezbędne aktualizacje, poprawki, biuletyny bezpieczeństwa muszą być dostarczane bez dodatkowych opłat) – wymagane podanie nazwy strony serwera WWW.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Internetowa aktualizacja zapewniona w języku polskim.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Wbudowana zapora internetowa (firewall) dla ochrony połączeń internetowych; zintegrowana z systemem konsola do zarządzania ustawieniami zapory i regułami IP v4 i v6.  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Zlokalizowane w języku polskim, co najmniej następujące elementy: menu, odtwarzacz multimediów, pomoc, komunikaty systemowe.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Wsparcie dla większości powszechnie używanych urządzeń peryferyjnych (drukarek, urządzeń sieciowych, standardów USB, </w:t>
      </w:r>
      <w:proofErr w:type="spellStart"/>
      <w:r>
        <w:rPr>
          <w:rFonts w:ascii="Tahoma" w:hAnsi="Tahoma" w:cs="Tahoma"/>
          <w:sz w:val="18"/>
          <w:szCs w:val="18"/>
        </w:rPr>
        <w:t>Plug&amp;Play</w:t>
      </w:r>
      <w:proofErr w:type="spellEnd"/>
      <w:r>
        <w:rPr>
          <w:rFonts w:ascii="Tahoma" w:hAnsi="Tahoma" w:cs="Tahoma"/>
          <w:sz w:val="18"/>
          <w:szCs w:val="18"/>
        </w:rPr>
        <w:t xml:space="preserve">, </w:t>
      </w:r>
      <w:proofErr w:type="spellStart"/>
      <w:r>
        <w:rPr>
          <w:rFonts w:ascii="Tahoma" w:hAnsi="Tahoma" w:cs="Tahoma"/>
          <w:sz w:val="18"/>
          <w:szCs w:val="18"/>
        </w:rPr>
        <w:t>Wi</w:t>
      </w:r>
      <w:proofErr w:type="spellEnd"/>
      <w:r>
        <w:rPr>
          <w:rFonts w:ascii="Tahoma" w:hAnsi="Tahoma" w:cs="Tahoma"/>
          <w:sz w:val="18"/>
          <w:szCs w:val="18"/>
        </w:rPr>
        <w:t xml:space="preserve">-Fi).   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Funkcjonalność automatycznej zmiany domyślnej drukarki w zależności od sieci, do której podłączony jest komputer.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Interfejs użytkownika działający w trybie graficznym z elementami 3D, zintegrowana z interfejsem użytkownika interaktywna część pulpitu służącą do uruchamiania aplikacji, które użytkownik może dowolnie wymieniać i pobrać ze strony producenta.   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Możliwość zdalnej automatycznej instalacji, konfiguracji, administrowania oraz aktualizowania systemu.   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Zabezpieczony hasłem hierarchiczny dostęp do systemu, konta i profile użytkowników zarządzane zdalnie; praca systemu w trybie ochrony kont użytkowników.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Zintegrowany z systemem moduł wyszukiwania informacji (plików różnego typu) dostępny z kilku poziomów: poziom menu, poziom otwartego okna systemu operacyjnego; system wyszukiwania oparty na konfigurowalnym przez użytkownika module indeksacji zasobów lokalnych.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Zintegrowane z systemem operacyjnym narzędzia zwalczające złośliwe oprogramowanie; aktualizacje dostępne u producenta nieodpłatnie bez ograniczeń czasowych.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Funkcje związane z obsługą komputerów typu TABLET PC, z wbudowanym modułem „uczenia się” pisma użytkownika – obsługa języka polskiego.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Funkcjonalność rozpoznawania mowy, pozwalającą na sterowanie komputerem głosowo, wraz z modułem „uczenia się” głosu użytkownika.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Zintegrowany z systemem operacyjnym moduł synchronizacji komputera z urządzeniami zewnętrznymi.  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Wbudowany system pomocy w języku polskim.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Certyfikat producenta oprogramowania na dostarczany sprzęt. 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Możliwość przystosowania stanowiska dla osób niepełnosprawnych (np. słabo widzących); 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Możliwość zarządzania stacją roboczą poprzez polityki – przez politykę rozumiemy zestaw reguł definiujących lub ograniczających funkcjonalność systemu lub aplikacji.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Wdrażanie IPSEC oparte na politykach – wdrażanie IPSEC oparte na zestawach reguł definiujących ustawienia zarządzanych w sposób centralny.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Automatyczne występowanie i używanie (wystawianie) certyfikatów PKI X.509.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Wsparcie dla logowania przy pomocy </w:t>
      </w:r>
      <w:proofErr w:type="spellStart"/>
      <w:r>
        <w:rPr>
          <w:rFonts w:ascii="Tahoma" w:hAnsi="Tahoma" w:cs="Tahoma"/>
          <w:sz w:val="18"/>
          <w:szCs w:val="18"/>
        </w:rPr>
        <w:t>smartcard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Rozbudowane polityki bezpieczeństwa – polityki dla systemu operacyjnego i dla wskazanych aplikacji.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System posiada narzędzia służące do administracji, do wykonywania kopii zapasowych polityk i ich odtwarzania oraz generowania raportów z ustawień polityk.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Wsparcie dla Sun Java i .NET Framework 1.1 i 2.0 i 3.0 – możliwość uruchomienia aplikacji działających we wskazanych środowiskach.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Wsparcie dla JScript i </w:t>
      </w:r>
      <w:proofErr w:type="spellStart"/>
      <w:r>
        <w:rPr>
          <w:rFonts w:ascii="Tahoma" w:hAnsi="Tahoma" w:cs="Tahoma"/>
          <w:sz w:val="18"/>
          <w:szCs w:val="18"/>
        </w:rPr>
        <w:t>VBScript</w:t>
      </w:r>
      <w:proofErr w:type="spellEnd"/>
      <w:r>
        <w:rPr>
          <w:rFonts w:ascii="Tahoma" w:hAnsi="Tahoma" w:cs="Tahoma"/>
          <w:sz w:val="18"/>
          <w:szCs w:val="18"/>
        </w:rPr>
        <w:t xml:space="preserve"> – możliwość uruchamiania interpretera poleceń.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Zdalna pomoc i współdzielenie aplikacji – możliwość zdalnego przejęcia sesji zalogowanego użytkownika celem rozwiązania problemu z komputerem.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Rozwiązanie służące do automatycznego zbudowania obrazu systemu wraz z aplikacjami. Obraz systemu służyć ma do automatycznego upowszechnienia systemu operacyjnego inicjowanego i wykonywanego w całości poprzez sieć komputerową.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Rozwiązanie ma umożliwiające wdrożenie nowego obrazu poprzez zdalną instalację.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Graficzne środowisko instalacji i konfiguracji.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Transakcyjny system plików pozwalający na stosowanie przydziałów (ang. </w:t>
      </w:r>
      <w:proofErr w:type="spellStart"/>
      <w:r>
        <w:rPr>
          <w:rFonts w:ascii="Tahoma" w:hAnsi="Tahoma" w:cs="Tahoma"/>
          <w:sz w:val="18"/>
          <w:szCs w:val="18"/>
        </w:rPr>
        <w:t>quota</w:t>
      </w:r>
      <w:proofErr w:type="spellEnd"/>
      <w:r>
        <w:rPr>
          <w:rFonts w:ascii="Tahoma" w:hAnsi="Tahoma" w:cs="Tahoma"/>
          <w:sz w:val="18"/>
          <w:szCs w:val="18"/>
        </w:rPr>
        <w:t>) na dysku dla użytkowników oraz zapewniający większą niezawodność i pozwalający tworzyć kopie zapasowe.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Zarządzanie kontami użytkowników sieci oraz urządzeniami sieciowymi tj. drukarki, modemy, woluminy dyskowe, usługi katalogowe.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Udostępnianie modemu.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Oprogramowanie dla tworzenia kopii zapasowych (Backup); automatyczne wykonywanie kopii plików z możliwością automatycznego przywrócenia wersji wcześniejszej.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Możliwość przywracania plików systemowych.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System operacyjny musi posiadać funkcjonalność pozwalającą na identyfikację sieci komputerowych, do których jest podłączony, zapamiętywanie ustawień i przypisywanie do min. 3 kategorii bezpieczeństwa (z predefiniowanymi odpowiednio do kategorii ustawieniami zapory sieciowej, udostępniania plików itp.).</w:t>
      </w:r>
    </w:p>
    <w:p w:rsidR="003630D9" w:rsidRDefault="003630D9" w:rsidP="003630D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Możliwość blokowania lub dopuszczania dowolnych urządzeń peryferyjnych za pomocą polityk grupowych (np. przy użyciu numerów identyfikacyjnych sprzętu).</w:t>
      </w:r>
    </w:p>
    <w:p w:rsidR="003630D9" w:rsidRDefault="003630D9" w:rsidP="003630D9">
      <w:pPr>
        <w:jc w:val="both"/>
        <w:rPr>
          <w:rFonts w:ascii="Tahoma" w:hAnsi="Tahoma" w:cs="Tahoma"/>
          <w:sz w:val="18"/>
          <w:szCs w:val="18"/>
        </w:rPr>
      </w:pPr>
    </w:p>
    <w:p w:rsidR="003630D9" w:rsidRDefault="003630D9" w:rsidP="003630D9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Pakiet biurowy </w:t>
      </w:r>
    </w:p>
    <w:p w:rsidR="003630D9" w:rsidRDefault="003630D9" w:rsidP="003630D9">
      <w:pPr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 oprogramowanie równoważne Microsoft Office Home and Business 2010 (PL) uznaje się oprogramowanie - pakiet biurowy, które spełnia następujące wymagania:</w:t>
      </w:r>
    </w:p>
    <w:p w:rsidR="003630D9" w:rsidRDefault="003630D9" w:rsidP="003630D9">
      <w:pPr>
        <w:pStyle w:val="Akapitzlist"/>
        <w:numPr>
          <w:ilvl w:val="0"/>
          <w:numId w:val="2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Wymagania odnośnie interfejsu użytkownika: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Pełna polska wersja językowa interfejsu użytkownika z możliwością przełączania wersji językowej interfejsu na język angielski.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Prostota i intuicyjność obsługi, pozwalająca na pracę osobom nieposiadającym umiejętności technicznych.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Możliwość zintegrowania uwierzytelniania użytkowników z usługą katalogową (Active Directory lub funkcjonalnie równoważną) – użytkownik raz zalogowany z poziomu systemu operacyjnego stacji roboczej ma być automatycznie rozpoznawany we wszystkich modułach oferowanego rozwiązania bez potrzeby oddzielnego monitowania go o ponowne uwierzytelnienie się.</w:t>
      </w:r>
    </w:p>
    <w:p w:rsidR="003630D9" w:rsidRDefault="003630D9" w:rsidP="003630D9">
      <w:pPr>
        <w:pStyle w:val="Akapitzlist"/>
        <w:numPr>
          <w:ilvl w:val="0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Oprogramowanie musi umożliwiać tworzenie i edycję dokumentów elektronicznych w ustalonym formacie, który spełnia następujące warunki: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posiada kompletny i publicznie dostępny opis formatu.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ma zdefiniowany układ informacji w postaci XML zgodnie z Tabelą B1 załącznika 2 Rozporządzenia w sprawie minimalnych wymagań dla systemów teleinformatycznych  (Dz.U.05.212.1766).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umożliwia wykorzystanie schematów XML.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wspiera w swojej specyfikacji podpis elektroniczny zgodnie z Tabelą A.1.1 załącznika 2 Rozporządzenia w sprawie minimalnych wymagań dla systemów teleinformatycznych  (Dz.U.05.212.1766).</w:t>
      </w:r>
    </w:p>
    <w:p w:rsidR="003630D9" w:rsidRDefault="003630D9" w:rsidP="003630D9">
      <w:pPr>
        <w:pStyle w:val="Akapitzlist"/>
        <w:numPr>
          <w:ilvl w:val="0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Oprogramowanie musi umożliwiać dostosowanie dokumentów i szablonów do potrzeb instytucji oraz udostępniać narzędzia umożliwiające dystrybucję odpowiednich szablonów do właściwych odbiorców. </w:t>
      </w:r>
    </w:p>
    <w:p w:rsidR="003630D9" w:rsidRDefault="003630D9" w:rsidP="003630D9">
      <w:pPr>
        <w:pStyle w:val="Akapitzlist"/>
        <w:numPr>
          <w:ilvl w:val="0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skład oprogramowania muszą wchodzić narzędzia programistyczne umożliwiające automatyzację pracy i wymianę danych pomiędzy dokumentami i aplikacjami (język makropoleceń, język skryptowy)</w:t>
      </w:r>
    </w:p>
    <w:p w:rsidR="003630D9" w:rsidRDefault="003630D9" w:rsidP="003630D9">
      <w:pPr>
        <w:pStyle w:val="Akapitzlist"/>
        <w:numPr>
          <w:ilvl w:val="0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 aplikacji musi być dostępna pełna dokumentacja w języku polskim.</w:t>
      </w:r>
    </w:p>
    <w:p w:rsidR="003630D9" w:rsidRDefault="003630D9" w:rsidP="003630D9">
      <w:pPr>
        <w:pStyle w:val="Akapitzlist"/>
        <w:numPr>
          <w:ilvl w:val="0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Pakiet zintegrowanych aplikacji biurowych musi zawierać: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Edytor tekstów. 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Arkusz kalkulacyjny.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Narzędzie do przygotowywania i prowadzenia prezentacji.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Narzędzie do tworzenia drukowanych materiałów informacyjnych.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Narzędzie do zarządzania informacją prywatą (pocztą elektroniczną, kalendarzem, kontaktami i zadaniami).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Narzędzie do tworzenia notatek przy pomocy klawiatury lub notatek odręcznych na ekranie urządzenia typu tablet PC z mechanizmem OCR.</w:t>
      </w:r>
    </w:p>
    <w:p w:rsidR="003630D9" w:rsidRDefault="003630D9" w:rsidP="003630D9">
      <w:pPr>
        <w:pStyle w:val="Akapitzlist"/>
        <w:numPr>
          <w:ilvl w:val="0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Edytor tekstów musi umożliwiać: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Edycję i formatowanie tekstu w języku polskim wraz z</w:t>
      </w:r>
      <w:r>
        <w:rPr>
          <w:rFonts w:ascii="Tahoma" w:hAnsi="Tahoma" w:cs="Tahoma"/>
          <w:sz w:val="18"/>
          <w:szCs w:val="18"/>
        </w:rPr>
        <w:tab/>
        <w:t>obsługą języka polskiego w zakresie sprawdzania pisowni i poprawności gramatycznej oraz funkcjonalnością słownika wyrazów bliskoznacznych i autokorekty.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Wstawianie oraz formatowanie tabel.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Wstawianie oraz formatowanie obiektów graficznych.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Wstawianie wykresów i tabel z arkusza kalkulacyjnego (wliczając tabele przestawne).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Automatyczne numerowanie rozdziałów, punktów, akapitów, tabel i rysunków.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Automatyczne tworzenie spisów treści.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Formatowanie nagłówków i stopek stron.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Sprawdzanie pisowni w języku polskim.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Śledzenie zmian wprowadzonych przez użytkowników.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Nagrywanie, tworzenie i edycję makr automatyzujących wykonywanie czynności.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Określenie układu strony (pionowa/pozioma).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Wydruk dokumentów.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Wykonywanie korespondencji seryjnej bazując na danych adresowych pochodzących z arkusza kalkulacyjnego i z narzędzia do zarządzania informacją prywatną.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Pracę na dokumentach utworzonych przy pomocy Microsoft Word 2003 lub Microsoft Word 2007 i 2010 z zapewnieniem bezproblemowej konwersji wszystkich elementów i atrybutów dokumentu.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Zabezpieczenie dokumentów hasłem przed odczytem oraz przed wprowadzaniem modyfikacji.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Wymagana jest dostępność do oferowanego edytora tekstu bezpłatnych narzędzi umożliwiających wykorzystanie go, jako środowiska udostępniającego formularze bazujące na schematach XML z Centralnego Repozytorium Wzorów Dokumentów Elektronicznych, które po wypełnieniu umożliwiają zapisanie pliku XML w zgodzie z obowiązującym prawem.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Wymagana jest dostępność do oferowanego edytora tekstu bezpłatnych narzędzi (kontrolki) umożliwiających podpisanie podpisem elektronicznym pliku z zapisanym dokumentem przy pomocy certyfikatu kwalifikowanego zgodnie z wymaganiami obowiązującego w Polsce prawa.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Wymagana jest dostępność do oferowanego edytora tekstu bezpłatnych narzędzi umożliwiających wykorzystanie go, jako środowiska udostępniającego formularze i pozwalające zapisać plik wynikowy w zgodzie z Rozporządzeniem o Aktach Normatywnych i Prawnych.</w:t>
      </w:r>
    </w:p>
    <w:p w:rsidR="003630D9" w:rsidRDefault="003630D9" w:rsidP="003630D9">
      <w:pPr>
        <w:pStyle w:val="Akapitzlist"/>
        <w:numPr>
          <w:ilvl w:val="0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Arkusz kalkulacyjny musi umożliwiać: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Tworzenie raportów tabelarycznych.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Tworzenie wykresów liniowych (wraz linią trendu), słupkowych, kołowych.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Tworzenie arkuszy kalkulacyjnych zawierających teksty, dane liczbowe oraz formuły przeprowadzające operacje matematyczne, logiczne, tekstowe, statystyczne oraz operacje na danych finansowych i na miarach czasu.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Tworzenie raportów z zewnętrznych źródeł danych (inne arkusze kalkulacyjne, bazy danych zgodne z ODBC, pliki tekstowe, pliki XML, </w:t>
      </w:r>
      <w:proofErr w:type="spellStart"/>
      <w:r>
        <w:rPr>
          <w:rFonts w:ascii="Tahoma" w:hAnsi="Tahoma" w:cs="Tahoma"/>
          <w:sz w:val="18"/>
          <w:szCs w:val="18"/>
        </w:rPr>
        <w:t>webservice</w:t>
      </w:r>
      <w:proofErr w:type="spellEnd"/>
      <w:r>
        <w:rPr>
          <w:rFonts w:ascii="Tahoma" w:hAnsi="Tahoma" w:cs="Tahoma"/>
          <w:sz w:val="18"/>
          <w:szCs w:val="18"/>
        </w:rPr>
        <w:t>).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Obsługę kostek OLAP oraz tworzenie i edycję kwerend bazodanowych i webowych. Narzędzia wspomagające analizę statystyczną i finansową, analizę wariantową i rozwiązywanie problemów optymalizacyjnych.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Tworzenie raportów tabeli przestawnych umożliwiających dynamiczną zmianę wymiarów oraz wykresów bazujących na danych z tabeli przestawnych.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Wyszukiwanie i zamianę danych.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Wykonywanie analiz danych przy użyciu formatowania warunkowego.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Nazywanie komórek arkusza i odwoływanie się w formułach po takiej nazwie.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Nagrywanie, tworzenie i edycję makr automatyzujących wykonywanie czynności.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Formatowanie czasu, daty i wartości finansowych z polskim formatem.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Zapis wielu arkuszy kalkulacyjnych w jednym pliku.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Zachowanie pełnej zgodności z formatami plików utworzonych za pomocą oprogramowania Microsoft Excel 2003 oraz Microsoft Excel 2007 i 2010, z uwzględnieniem poprawnej realizacji użytych w nich funkcji specjalnych i makropoleceń.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Zabezpieczenie dokumentów hasłem przed odczytem oraz przed wprowadzaniem modyfikacji.</w:t>
      </w:r>
    </w:p>
    <w:p w:rsidR="003630D9" w:rsidRDefault="003630D9" w:rsidP="003630D9">
      <w:pPr>
        <w:pStyle w:val="Akapitzlist"/>
        <w:numPr>
          <w:ilvl w:val="0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Narzędzie do przygotowywania i prowadzenia prezentacji musi umożliwiać: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Przygotowywanie prezentacji multimedialnych, które będą: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Prezentowanie przy użyciu projektora multimedialnego.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Drukowanie w formacie umożliwiającym robienie notatek.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Zapisanie jako prezentacja tylko do odczytu.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Nagrywanie narracji i dołączanie jej do prezentacji.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Opatrywanie slajdów notatkami dla prezentera.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Umieszczanie i formatowanie tekstów, obiektów graficznych, tabel, nagrań dźwiękowych </w:t>
      </w:r>
      <w:r>
        <w:rPr>
          <w:rFonts w:ascii="Tahoma" w:hAnsi="Tahoma" w:cs="Tahoma"/>
          <w:sz w:val="18"/>
          <w:szCs w:val="18"/>
        </w:rPr>
        <w:br/>
        <w:t>i wideo.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Umieszczanie tabel i wykresów pochodzących z arkusza kalkulacyjnego.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Odświeżenie wykresu znajdującego się w prezentacji po zmianie danych w źródłowym arkuszu kalkulacyjnym.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Możliwość tworzenia animacji obiektów i całych slajdów.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Prowadzenie prezentacji w trybie prezentera, gdzie slajdy są widoczne na jednym monitorze lub projektorze, a na drugim widoczne są slajdy i notatki prezentera.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Pełna zgodność z formatami plików utworzonych za pomocą oprogramowania MS PowerPoint 2003, MS PowerPoint 2007 i 2010.</w:t>
      </w:r>
    </w:p>
    <w:p w:rsidR="003630D9" w:rsidRDefault="003630D9" w:rsidP="003630D9">
      <w:pPr>
        <w:pStyle w:val="Akapitzlist"/>
        <w:numPr>
          <w:ilvl w:val="0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Narzędzie do tworzenia drukowanych materiałów informacyjnych musi umożliwiać: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Tworzenie i edycję drukowanych materiałów informacyjnych.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Tworzenie materiałów przy użyciu dostępnych z narzędziem szablonów: broszur, biuletynów, katalogów.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Edycję poszczególnych stron materiałów.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Podział treści na kolumny.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Umieszczanie elementów graficznych.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wykorzystanie mechanizmu korespondencji seryjnej.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Płynne przesuwanie elementów po całej stronie publikacji.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Eksport publikacji do formatu PDF oraz TIFF.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Wydruk publikacji.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Możliwość przygotowywania materiałów do wydruku w standardzie CMYK.</w:t>
      </w:r>
    </w:p>
    <w:p w:rsidR="003630D9" w:rsidRDefault="003630D9" w:rsidP="003630D9">
      <w:pPr>
        <w:pStyle w:val="Akapitzlist"/>
        <w:numPr>
          <w:ilvl w:val="0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Narzędzie do zarządzania informacją prywatną (pocztą elektroniczną, kalendarzem, kontaktami i zadaniami) musi umożliwiać: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Pobieranie i wysyłanie poczty elektronicznej z serwera pocztowego. 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Filtrowanie niechcianej poczty elektronicznej (SPAM) oraz określanie listy zablokowanych i bezpiecznych nadawców.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Tworzenie katalogów, pozwalających katalogować pocztę elektroniczną.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Automatyczne grupowanie poczty o tym samym tytule.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Tworzenie reguł przenoszących automatycznie nową pocztę elektroniczną do określonych katalogów bazując na słowach zawartych w tytule, adresie nadawcy i odbiorcy.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Oflagowanie poczty elektronicznej z określeniem terminu przypomnienia.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Zarządzanie kalendarzem.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Udostępnianie kalendarza innym użytkownikom.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Przeglądanie kalendarza innych użytkowników.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Zapraszanie uczestników na spotkanie, co po ich akceptacji powoduje automatyczne wprowadzenie spotkania w ich kalendarzach.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Zarządzanie listą zadań.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Zlecanie zadań innym użytkownikom.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Zarządzanie listą kontaktów.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Udostępnianie listy kontaktów innym użytkownikom.</w:t>
      </w:r>
    </w:p>
    <w:p w:rsidR="003630D9" w:rsidRDefault="003630D9" w:rsidP="003630D9">
      <w:pPr>
        <w:pStyle w:val="Akapitzlist"/>
        <w:numPr>
          <w:ilvl w:val="1"/>
          <w:numId w:val="3"/>
        </w:num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Przeglądanie listy kontaktów innych użytkowników.</w:t>
      </w:r>
    </w:p>
    <w:p w:rsidR="003630D9" w:rsidRDefault="003630D9" w:rsidP="00CA55B9">
      <w:pPr>
        <w:pStyle w:val="Akapitzlist"/>
        <w:numPr>
          <w:ilvl w:val="1"/>
          <w:numId w:val="3"/>
        </w:numPr>
        <w:tabs>
          <w:tab w:val="left" w:pos="2325"/>
          <w:tab w:val="left" w:pos="7305"/>
        </w:tabs>
        <w:spacing w:after="0"/>
        <w:jc w:val="both"/>
        <w:rPr>
          <w:rFonts w:ascii="Tahoma" w:hAnsi="Tahoma" w:cs="Tahoma"/>
          <w:sz w:val="18"/>
          <w:szCs w:val="18"/>
        </w:rPr>
      </w:pPr>
      <w:r w:rsidRPr="00CA55B9">
        <w:rPr>
          <w:rFonts w:ascii="Tahoma" w:hAnsi="Tahoma" w:cs="Tahoma"/>
          <w:sz w:val="18"/>
          <w:szCs w:val="18"/>
        </w:rPr>
        <w:t>Możliwość przesyłania kontaktów innym użytkowników.</w:t>
      </w:r>
    </w:p>
    <w:sectPr w:rsidR="003630D9" w:rsidSect="00C7062F">
      <w:headerReference w:type="default" r:id="rId9"/>
      <w:footerReference w:type="default" r:id="rId10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08D" w:rsidRDefault="00AE408D" w:rsidP="00E403E7">
      <w:pPr>
        <w:spacing w:after="0" w:line="240" w:lineRule="auto"/>
      </w:pPr>
      <w:r>
        <w:separator/>
      </w:r>
    </w:p>
  </w:endnote>
  <w:endnote w:type="continuationSeparator" w:id="0">
    <w:p w:rsidR="00AE408D" w:rsidRDefault="00AE408D" w:rsidP="00E4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0FF3069" wp14:editId="78F0EB88">
              <wp:simplePos x="0" y="0"/>
              <wp:positionH relativeFrom="column">
                <wp:posOffset>2891155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080FDF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080FDF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080FDF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080FDF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080FDF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hyperlink r:id="rId1" w:history="1">
                            <w:r w:rsidRPr="00080FDF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krzysztof.kasica@umeblag.pl</w:t>
                            </w:r>
                          </w:hyperlink>
                          <w:r w:rsidRPr="00080FDF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2" w:history="1">
                            <w:r w:rsidRPr="00080FDF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080FDF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2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fMYZZ98AAAALAQAADwAAAAAAAAAAAAAAAADfBAAAZHJzL2Rvd25yZXYueG1sUEsFBgAAAAAE&#10;AAQA8wAAAOsFAAAAAA==&#10;" stroked="f">
              <v:textbox>
                <w:txbxContent>
                  <w:p w:rsidR="00814E85" w:rsidRPr="009F65A6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>Tel. +48 55 239 33 75</w:t>
                    </w:r>
                    <w:r w:rsidR="009F65A6" w:rsidRPr="009F65A6">
                      <w:rPr>
                        <w:rFonts w:ascii="Arial" w:hAnsi="Arial" w:cs="Arial"/>
                        <w:sz w:val="16"/>
                        <w:szCs w:val="16"/>
                      </w:rPr>
                      <w:t>/16</w:t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| Fax +48 55 239 33 46</w:t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  <w:t xml:space="preserve">e-mail: </w:t>
                    </w:r>
                    <w:hyperlink r:id="rId3" w:history="1">
                      <w:r w:rsidRPr="009F65A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</w:rPr>
                        <w:t>krzysztof.kasica@umeblag.pl</w:t>
                      </w:r>
                    </w:hyperlink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; </w:t>
                    </w:r>
                    <w:hyperlink r:id="rId4" w:history="1">
                      <w:r w:rsidRPr="009F65A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</w:rPr>
                        <w:t>orlikowska@umelblag.pl</w:t>
                      </w:r>
                    </w:hyperlink>
                    <w:r w:rsidR="003119A3">
                      <w:rPr>
                        <w:rFonts w:ascii="Arial" w:hAnsi="Arial" w:cs="Arial"/>
                        <w:sz w:val="16"/>
                        <w:szCs w:val="16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  <w:lang w:eastAsia="pl-PL"/>
      </w:rPr>
      <w:drawing>
        <wp:inline distT="0" distB="0" distL="0" distR="0" wp14:anchorId="4D88B3DF" wp14:editId="10694868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  <w:lang w:eastAsia="pl-PL"/>
      </w:rPr>
      <w:drawing>
        <wp:inline distT="0" distB="0" distL="0" distR="0" wp14:anchorId="320B81D1" wp14:editId="7E800610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08D" w:rsidRDefault="00AE408D" w:rsidP="00E403E7">
      <w:pPr>
        <w:spacing w:after="0" w:line="240" w:lineRule="auto"/>
      </w:pPr>
      <w:r>
        <w:separator/>
      </w:r>
    </w:p>
  </w:footnote>
  <w:footnote w:type="continuationSeparator" w:id="0">
    <w:p w:rsidR="00AE408D" w:rsidRDefault="00AE408D" w:rsidP="00E4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794D91" wp14:editId="71A17B28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</w:t>
                    </w:r>
                    <w:proofErr w:type="spellEnd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 xml:space="preserve">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AFE924F" wp14:editId="733FC660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  <w:lang w:eastAsia="pl-PL"/>
      </w:rPr>
      <w:drawing>
        <wp:inline distT="0" distB="0" distL="0" distR="0" wp14:anchorId="70AA3D5E" wp14:editId="4E013FF3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A656A"/>
    <w:multiLevelType w:val="hybridMultilevel"/>
    <w:tmpl w:val="A21A7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DB6A81"/>
    <w:multiLevelType w:val="hybridMultilevel"/>
    <w:tmpl w:val="774067D6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788" w:hanging="708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4B70FC"/>
    <w:multiLevelType w:val="hybridMultilevel"/>
    <w:tmpl w:val="8EE2E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803AF"/>
    <w:rsid w:val="00080FDF"/>
    <w:rsid w:val="001E00FF"/>
    <w:rsid w:val="003119A3"/>
    <w:rsid w:val="00331D0B"/>
    <w:rsid w:val="003477F8"/>
    <w:rsid w:val="003630D9"/>
    <w:rsid w:val="00415BA1"/>
    <w:rsid w:val="004A36DE"/>
    <w:rsid w:val="00562132"/>
    <w:rsid w:val="00773085"/>
    <w:rsid w:val="00814E85"/>
    <w:rsid w:val="009C6457"/>
    <w:rsid w:val="009F65A6"/>
    <w:rsid w:val="00A12E69"/>
    <w:rsid w:val="00AE408D"/>
    <w:rsid w:val="00BA7766"/>
    <w:rsid w:val="00C24CE8"/>
    <w:rsid w:val="00C7062F"/>
    <w:rsid w:val="00CA55B9"/>
    <w:rsid w:val="00CE47D3"/>
    <w:rsid w:val="00DA297F"/>
    <w:rsid w:val="00E403E7"/>
    <w:rsid w:val="00EE3F46"/>
    <w:rsid w:val="00F60045"/>
    <w:rsid w:val="00FA55AD"/>
    <w:rsid w:val="00FC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Akapitzlist">
    <w:name w:val="List Paragraph"/>
    <w:basedOn w:val="Normalny"/>
    <w:qFormat/>
    <w:rsid w:val="003630D9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3630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Akapitzlist">
    <w:name w:val="List Paragraph"/>
    <w:basedOn w:val="Normalny"/>
    <w:qFormat/>
    <w:rsid w:val="003630D9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3630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3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cpu_list.ph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2630</Words>
  <Characters>15786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16</cp:revision>
  <cp:lastPrinted>2013-04-04T10:59:00Z</cp:lastPrinted>
  <dcterms:created xsi:type="dcterms:W3CDTF">2013-02-20T08:01:00Z</dcterms:created>
  <dcterms:modified xsi:type="dcterms:W3CDTF">2013-04-04T10:59:00Z</dcterms:modified>
</cp:coreProperties>
</file>