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B79EC" w14:textId="57479124" w:rsidR="00A77B3E" w:rsidRDefault="00255B8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B0E31">
        <w:rPr>
          <w:b/>
          <w:caps/>
        </w:rPr>
        <w:t>87/2025</w:t>
      </w:r>
      <w:r>
        <w:rPr>
          <w:b/>
          <w:caps/>
        </w:rPr>
        <w:br/>
        <w:t>Prezydenta Miasta Elbląg</w:t>
      </w:r>
    </w:p>
    <w:p w14:paraId="7DC136FC" w14:textId="447C8B3F" w:rsidR="00A77B3E" w:rsidRDefault="00255B8D">
      <w:pPr>
        <w:spacing w:before="280" w:after="280"/>
        <w:jc w:val="center"/>
        <w:rPr>
          <w:b/>
          <w:caps/>
        </w:rPr>
      </w:pPr>
      <w:r>
        <w:t xml:space="preserve">z dnia </w:t>
      </w:r>
      <w:r w:rsidR="00BB0E31">
        <w:t>21 lutego</w:t>
      </w:r>
      <w:r>
        <w:t> 2025 r.</w:t>
      </w:r>
    </w:p>
    <w:p w14:paraId="78676318" w14:textId="77777777" w:rsidR="00A77B3E" w:rsidRDefault="00255B8D">
      <w:pPr>
        <w:keepNext/>
        <w:spacing w:after="480"/>
        <w:jc w:val="center"/>
      </w:pPr>
      <w:r>
        <w:rPr>
          <w:b/>
        </w:rPr>
        <w:t>zmieniające Zarządzenie w sprawie zasad i sposobu funkcjonowania kontroli zarządczej oraz planowania pracy w Urzędzie Miejskim w Elblągu</w:t>
      </w:r>
    </w:p>
    <w:p w14:paraId="3151922C" w14:textId="77777777" w:rsidR="00A77B3E" w:rsidRDefault="00255B8D">
      <w:pPr>
        <w:keepLines/>
        <w:spacing w:before="120" w:after="120" w:line="276" w:lineRule="auto"/>
        <w:ind w:firstLine="227"/>
      </w:pPr>
      <w:r>
        <w:t>Na podstawie § 49 ust. 1 Regulaminu Organizacyjnego Urzędu Miejskiego w Elblągu (Zarządzenie Nr 384/2024 Prezydenta Miasta Elbląg z dnia 29 lipca 2024 r. z </w:t>
      </w:r>
      <w:proofErr w:type="spellStart"/>
      <w:r>
        <w:t>późn</w:t>
      </w:r>
      <w:proofErr w:type="spellEnd"/>
      <w:r>
        <w:t>. zm.) oraz w związku z art. 69 ust. 1 pkt 3 ustawy z dnia 27 sierpnia 2009 r. o finansach publicznych (Dz. U. z 2024 r. poz. 1530 z </w:t>
      </w:r>
      <w:proofErr w:type="spellStart"/>
      <w:r>
        <w:t>późn</w:t>
      </w:r>
      <w:proofErr w:type="spellEnd"/>
      <w:r>
        <w:t>. zm.) zarządza się co następuje:</w:t>
      </w:r>
    </w:p>
    <w:p w14:paraId="21615E9B" w14:textId="77777777" w:rsidR="00A77B3E" w:rsidRDefault="00255B8D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465/2022 Prezydenta Miasta Elbląg z dnia 12 października 2022 r.</w:t>
      </w:r>
      <w:r>
        <w:br/>
        <w:t>w sprawie zasad i sposobu funkcjonowania kontroli zarządczej, planowania pracy oraz analizy ryzyka w Urzędzie Miejskim w Elblągu (ze zm.) wprowadza się następujące zmiany:</w:t>
      </w:r>
    </w:p>
    <w:p w14:paraId="2F7711C3" w14:textId="77777777" w:rsidR="00A77B3E" w:rsidRDefault="00255B8D">
      <w:pPr>
        <w:spacing w:before="120" w:after="120"/>
        <w:ind w:left="340" w:hanging="227"/>
      </w:pPr>
      <w:r>
        <w:t>1) § 2 i 3 otrzymują nowe brzmienie:</w:t>
      </w:r>
    </w:p>
    <w:p w14:paraId="05F13B30" w14:textId="77777777" w:rsidR="00A77B3E" w:rsidRDefault="00255B8D">
      <w:pPr>
        <w:keepLines/>
        <w:spacing w:before="120" w:after="120"/>
        <w:ind w:left="453" w:firstLine="227"/>
      </w:pPr>
      <w:r>
        <w:t>„§ 2. Zobowiązuje się Dyrektorów komórek organizacyjnych Urzędu do zapoznania podległych im pracowników z treścią niniejszego zarządzenia, jak również Pełnomocników Prezydenta i samodzielne stanowiska.</w:t>
      </w:r>
    </w:p>
    <w:p w14:paraId="12784FA5" w14:textId="77777777" w:rsidR="00A77B3E" w:rsidRDefault="00255B8D">
      <w:pPr>
        <w:keepLines/>
        <w:spacing w:before="120" w:after="120"/>
        <w:ind w:left="453" w:firstLine="340"/>
      </w:pPr>
      <w:r>
        <w:t>§ 3. Wykonanie zarządzenia powierza się wszystkim Dyrektorom komórek organizacyjnych Urzędu/Pełnomocnikom Prezydenta/samodzielnym stanowiskom.”.</w:t>
      </w:r>
    </w:p>
    <w:p w14:paraId="2C94310E" w14:textId="77777777" w:rsidR="00A77B3E" w:rsidRDefault="00255B8D">
      <w:pPr>
        <w:keepLines/>
        <w:spacing w:before="120" w:after="120"/>
        <w:ind w:firstLine="340"/>
      </w:pPr>
      <w:r>
        <w:rPr>
          <w:b/>
        </w:rPr>
        <w:t>§ 2. </w:t>
      </w:r>
      <w:r>
        <w:t>W Załączniku do Zarządzenia Nr 465/2022 Prezydenta Miasta Elbląg z dnia 12 października 2022 r.</w:t>
      </w:r>
      <w:r>
        <w:br/>
        <w:t>w sprawie zasad i sposobu funkcjonowania kontroli zarządczej, planowania pracy oraz analizy ryzyka w Urzędzie Miejskim w Elblągu (ze zm.), stanowiącym Zakres, zasady i sposób funkcjonowania systemu kontroli zarządczej, planowania pracy oraz analizy ryzyka przy planowaniu pracy oraz przetwarzaniu danych osobowych i informacji w Urzędzie Miejskim w Elblągu, wprowadza się następujące zmiany:</w:t>
      </w:r>
    </w:p>
    <w:p w14:paraId="4C2A9DD5" w14:textId="77777777" w:rsidR="00A77B3E" w:rsidRDefault="00255B8D">
      <w:pPr>
        <w:spacing w:before="120" w:after="120"/>
        <w:ind w:left="340" w:hanging="227"/>
      </w:pPr>
      <w:r>
        <w:t>1) § 10 ust. 4, 5, 6, 7 i 8 otrzymują nowe brzmienie:</w:t>
      </w:r>
    </w:p>
    <w:p w14:paraId="19F5D39E" w14:textId="77777777" w:rsidR="00A77B3E" w:rsidRDefault="00255B8D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 xml:space="preserve">„4. Sporządzony w aplikacji SRPD Rejestr szacowania ryzyka ochrony danych osobowych i informacji,   o którym mowa w §10 ust. 1 pkt 2 po podpisaniu przez Dyrektora przekazywany jest do koordynatora Zespołu ds. ochrony danych osobowych i informacji w terminie </w:t>
      </w:r>
      <w:r>
        <w:rPr>
          <w:b/>
          <w:color w:val="000000"/>
          <w:u w:color="000000"/>
        </w:rPr>
        <w:t>do dnia 15 grudnia każdego roku.</w:t>
      </w:r>
    </w:p>
    <w:p w14:paraId="06C402B5" w14:textId="77777777" w:rsidR="00A77B3E" w:rsidRDefault="00255B8D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Zespół ds. ochrony danych osobowych i informacji na podstawie otrzymanych Rejestrów szacowania ryzyka ochrony danych osobowych i informacji, o których mowa w §10 ust. 4 przygotowuje informację dotyczącą szacowania ryzyka Urzędu zawierającą m.in. zestawienie zagrożeń, ich podatności oraz propozycje metod przeciwdziałania ryzyku przedstawionych przez komórki organizacyjne Urzędu. Koordynator Zespołu ds. ochrony danych osobowych i informacji </w:t>
      </w:r>
      <w:r>
        <w:rPr>
          <w:b/>
          <w:color w:val="000000"/>
          <w:u w:color="000000"/>
        </w:rPr>
        <w:t>w terminie 31 grudnia każdego roku</w:t>
      </w:r>
      <w:r>
        <w:rPr>
          <w:color w:val="000000"/>
          <w:u w:color="000000"/>
        </w:rPr>
        <w:t xml:space="preserve"> przekazuje informację do zatwierdzenia Administratorowi Danych Osobowych.</w:t>
      </w:r>
    </w:p>
    <w:p w14:paraId="28A896F9" w14:textId="77777777" w:rsidR="00A77B3E" w:rsidRDefault="00255B8D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Informację, o której mowa w ust. 5 po zatwierdzeniu przez Administratora Danych Osobowych koordynator Zespołu ds. ochrony danych osobowych i informacji przekazuje do wiadomości Dyrektorom w celu podjęcia działań minimalizujących ryzyko naruszenia praw i wolności osób, których dane dotyczą do akceptowalnego poziomu.</w:t>
      </w:r>
    </w:p>
    <w:p w14:paraId="66B4914B" w14:textId="77777777" w:rsidR="00A77B3E" w:rsidRDefault="00255B8D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Proces szacowania ryzyka przy przetwarzaniu danych osobowych i informacji koordynuje i nadzoruje Zespół ds. ochrony danych osobowych i informacji powołany odrębnym zarządzeniem Prezydenta.</w:t>
      </w:r>
    </w:p>
    <w:p w14:paraId="3836C4FC" w14:textId="77777777" w:rsidR="00A77B3E" w:rsidRDefault="00255B8D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 przypadku rozszerzenia zakresu działania o nowe cele, zadania lub ich zmiany w odniesieniu do danych osobowych i informacji albo istotnej zmiany warunków przetwarzania, Dyrektorzy dokonują ponownej identyfikacji ryzyka i jego oceny i przekazują informację o zidentyfikowanym ryzyku koordynatorowi Zespołu ds. ochrony danych osobowych i informacji.”.</w:t>
      </w:r>
    </w:p>
    <w:p w14:paraId="282FD01D" w14:textId="77777777" w:rsidR="00A77B3E" w:rsidRDefault="00255B8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 4 do Zakresu, zasad i sposobu funkcjonowania systemu kontroli zarządczej, planowania pracy oraz analizy ryzyka przy planowaniu pracy oraz przetwarzaniu danych osobowych i informacji w Urzędzie Miejskim w Elblągu otrzymuje brzmienie jak załącznik do niniejszego zarządzenia.</w:t>
      </w:r>
    </w:p>
    <w:p w14:paraId="4D4FB6D6" w14:textId="77777777" w:rsidR="00A77B3E" w:rsidRDefault="00255B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>
        <w:rPr>
          <w:color w:val="000000"/>
          <w:u w:color="000000"/>
        </w:rPr>
        <w:t>Wykonanie zarządzenia powierza się wszystkim Dyrektorom komórek organizacyjnych Urzędu/Pełnomocnikom Prezydenta/samodzielnym stanowiskom.</w:t>
      </w:r>
    </w:p>
    <w:p w14:paraId="06260278" w14:textId="77777777" w:rsidR="00A77B3E" w:rsidRDefault="00255B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Nadzór nad wykonaniem zarządzenia powierza się Dyrektorowi Departamentu Kontroli i Monitoringu.</w:t>
      </w:r>
    </w:p>
    <w:p w14:paraId="45B6AC4E" w14:textId="0B2806ED" w:rsidR="00A77B3E" w:rsidRDefault="00255B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</w:t>
      </w:r>
      <w:r w:rsidR="0021396E">
        <w:rPr>
          <w:color w:val="000000"/>
          <w:u w:color="000000"/>
        </w:rPr>
        <w:t>d</w:t>
      </w:r>
      <w:r>
        <w:rPr>
          <w:color w:val="000000"/>
          <w:u w:color="000000"/>
        </w:rPr>
        <w:t>pisania.</w:t>
      </w:r>
    </w:p>
    <w:p w14:paraId="61CEC83F" w14:textId="1321754C" w:rsidR="00A77B3E" w:rsidRDefault="00255B8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</w:p>
    <w:p w14:paraId="54E51065" w14:textId="77777777" w:rsidR="0083621A" w:rsidRDefault="0083621A">
      <w:pPr>
        <w:rPr>
          <w:szCs w:val="20"/>
        </w:rPr>
      </w:pPr>
    </w:p>
    <w:p w14:paraId="72B2E807" w14:textId="77777777" w:rsidR="0083621A" w:rsidRDefault="00255B8D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47C3F9D" w14:textId="77777777" w:rsidR="0083621A" w:rsidRDefault="00255B8D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W związku ze zmianą nazwy Zespołu ds. Nadzoru nad Polityką Bezpieczeństwa Informacji na Zespół ds. ochrony danych osobowych i informacji wprowadzonej Zarządzeniem Nr 58/2025 Prezydenta Miasta Elbląg z dnia 4 lutego 2025 r. </w:t>
      </w:r>
      <w:proofErr w:type="spellStart"/>
      <w:r>
        <w:rPr>
          <w:szCs w:val="20"/>
        </w:rPr>
        <w:t>ws</w:t>
      </w:r>
      <w:proofErr w:type="spellEnd"/>
      <w:r>
        <w:rPr>
          <w:szCs w:val="20"/>
        </w:rPr>
        <w:t>. powołania Zespołu ds. ochrony danych osobowych i informacji niezbędne jest dostosowanie zapisów w Zarządzeniu Nr 465/2022 Prezydenta Miasta Elbląg z dnia 12 października 2022 r. w sprawie zasad i sposobu funkcjonowania kontroli zarządczej, planowania pracy oraz analizy ryzyka w Urzędzie Miejskim w Elblągu (ze zm.).</w:t>
      </w:r>
    </w:p>
    <w:p w14:paraId="142D1735" w14:textId="717F6425" w:rsidR="0021396E" w:rsidRDefault="00255B8D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Zarządzenie nie rodzi skutków finansowych.</w:t>
      </w:r>
    </w:p>
    <w:p w14:paraId="4D2E916C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6FA290A5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2CFF97A2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2AA0A612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26D59F7A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697FA815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3E783C55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532ECCBE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2A9772E4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4258B9A4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240DC0F6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0ED4EC3A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0CB7CF0C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3A49AC91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12C7944A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7E280BCA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3644BBDC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2830DB20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0F7E9F8B" w14:textId="77777777" w:rsidR="0021396E" w:rsidRDefault="0021396E">
      <w:pPr>
        <w:spacing w:before="120" w:after="120"/>
        <w:ind w:left="283" w:firstLine="227"/>
        <w:rPr>
          <w:szCs w:val="20"/>
        </w:rPr>
      </w:pPr>
    </w:p>
    <w:p w14:paraId="03203E50" w14:textId="77777777" w:rsidR="0021396E" w:rsidRDefault="0021396E" w:rsidP="0021396E">
      <w:pPr>
        <w:pStyle w:val="Nagwek"/>
        <w:spacing w:before="120" w:after="120"/>
        <w:rPr>
          <w:rFonts w:ascii="Times New Roman" w:hAnsi="Times New Roman" w:cs="Times New Roman"/>
          <w:sz w:val="20"/>
          <w:szCs w:val="20"/>
        </w:rPr>
      </w:pPr>
    </w:p>
    <w:p w14:paraId="22868FD8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4F3B0E84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10367629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3631F434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7A5796E1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0EB35AD5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360BFCDC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10DD1AF6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35ECDA91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70724011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1D6A05DC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5AEA47E4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46ED87C4" w14:textId="77777777" w:rsidR="0021396E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</w:p>
    <w:p w14:paraId="796F90E2" w14:textId="6CBFDBE7" w:rsidR="0021396E" w:rsidRPr="0021396E" w:rsidRDefault="0021396E" w:rsidP="0021396E">
      <w:pPr>
        <w:spacing w:after="120" w:line="360" w:lineRule="auto"/>
        <w:rPr>
          <w:sz w:val="16"/>
          <w:szCs w:val="16"/>
        </w:rPr>
        <w:sectPr w:rsidR="0021396E" w:rsidRPr="0021396E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</w:sectPr>
      </w:pPr>
    </w:p>
    <w:p w14:paraId="4973B9F8" w14:textId="77777777" w:rsidR="0021396E" w:rsidRPr="001A7D0A" w:rsidRDefault="0021396E" w:rsidP="0021396E"/>
    <w:p w14:paraId="7CDC4ED7" w14:textId="77777777" w:rsidR="0021396E" w:rsidRDefault="0021396E" w:rsidP="0021396E">
      <w:pPr>
        <w:jc w:val="center"/>
        <w:rPr>
          <w:b/>
        </w:rPr>
      </w:pPr>
    </w:p>
    <w:p w14:paraId="363DC668" w14:textId="1E211DB8" w:rsidR="0021396E" w:rsidRPr="009C1354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9C1354">
        <w:rPr>
          <w:rFonts w:ascii="Times New Roman" w:hAnsi="Times New Roman" w:cs="Times New Roman"/>
          <w:sz w:val="20"/>
          <w:szCs w:val="20"/>
        </w:rPr>
        <w:t>Załącznik do Zarządzenia</w:t>
      </w:r>
    </w:p>
    <w:p w14:paraId="7AF15A8C" w14:textId="08F33D63" w:rsidR="0021396E" w:rsidRPr="009C1354" w:rsidRDefault="0021396E" w:rsidP="0021396E">
      <w:pPr>
        <w:pStyle w:val="Nagwek"/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</w:t>
      </w:r>
      <w:r w:rsidRPr="009C1354">
        <w:rPr>
          <w:rFonts w:ascii="Times New Roman" w:hAnsi="Times New Roman" w:cs="Times New Roman"/>
          <w:sz w:val="20"/>
          <w:szCs w:val="20"/>
        </w:rPr>
        <w:t xml:space="preserve">Nr </w:t>
      </w:r>
      <w:r>
        <w:rPr>
          <w:rFonts w:ascii="Times New Roman" w:hAnsi="Times New Roman" w:cs="Times New Roman"/>
          <w:sz w:val="20"/>
          <w:szCs w:val="20"/>
        </w:rPr>
        <w:t>87/2025</w:t>
      </w:r>
    </w:p>
    <w:p w14:paraId="182B93BD" w14:textId="77777777" w:rsidR="0021396E" w:rsidRPr="009C1354" w:rsidRDefault="0021396E" w:rsidP="0021396E">
      <w:pPr>
        <w:pStyle w:val="Nagwek"/>
        <w:spacing w:before="120" w:after="120"/>
        <w:jc w:val="right"/>
        <w:rPr>
          <w:rFonts w:ascii="Times New Roman" w:hAnsi="Times New Roman" w:cs="Times New Roman"/>
          <w:sz w:val="20"/>
          <w:szCs w:val="20"/>
        </w:rPr>
      </w:pPr>
      <w:r w:rsidRPr="009C1354">
        <w:rPr>
          <w:rFonts w:ascii="Times New Roman" w:hAnsi="Times New Roman" w:cs="Times New Roman"/>
          <w:sz w:val="20"/>
          <w:szCs w:val="20"/>
        </w:rPr>
        <w:t>Prezydenta Miasta Elbląg</w:t>
      </w:r>
    </w:p>
    <w:p w14:paraId="5ACF7C45" w14:textId="7686A780" w:rsidR="0021396E" w:rsidRPr="009C1354" w:rsidRDefault="0021396E" w:rsidP="0021396E">
      <w:pPr>
        <w:pStyle w:val="Nagwek"/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z</w:t>
      </w:r>
      <w:r w:rsidRPr="009C1354">
        <w:rPr>
          <w:rFonts w:ascii="Times New Roman" w:hAnsi="Times New Roman" w:cs="Times New Roman"/>
          <w:sz w:val="20"/>
          <w:szCs w:val="20"/>
        </w:rPr>
        <w:t xml:space="preserve"> dnia </w:t>
      </w:r>
      <w:r>
        <w:rPr>
          <w:rFonts w:ascii="Times New Roman" w:hAnsi="Times New Roman" w:cs="Times New Roman"/>
          <w:sz w:val="20"/>
          <w:szCs w:val="20"/>
        </w:rPr>
        <w:t>21 lutego 2025 r.</w:t>
      </w:r>
    </w:p>
    <w:p w14:paraId="64DF4F43" w14:textId="3D16F071" w:rsidR="0021396E" w:rsidRPr="009C1354" w:rsidRDefault="0021396E" w:rsidP="0021396E">
      <w:pPr>
        <w:pStyle w:val="Nagwek"/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Pr="009C1354">
        <w:rPr>
          <w:rFonts w:ascii="Times New Roman" w:hAnsi="Times New Roman" w:cs="Times New Roman"/>
          <w:sz w:val="20"/>
          <w:szCs w:val="20"/>
        </w:rPr>
        <w:t xml:space="preserve">Załącznik Nr 4 </w:t>
      </w:r>
    </w:p>
    <w:p w14:paraId="65F0A244" w14:textId="1CA23499" w:rsidR="0021396E" w:rsidRPr="009C1354" w:rsidRDefault="0021396E" w:rsidP="0021396E">
      <w:pPr>
        <w:pStyle w:val="Nagwek"/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</w:t>
      </w:r>
      <w:r w:rsidRPr="009C1354">
        <w:rPr>
          <w:rFonts w:ascii="Times New Roman" w:hAnsi="Times New Roman" w:cs="Times New Roman"/>
          <w:sz w:val="20"/>
          <w:szCs w:val="20"/>
        </w:rPr>
        <w:t xml:space="preserve">do zasad </w:t>
      </w:r>
    </w:p>
    <w:p w14:paraId="0060246D" w14:textId="77777777" w:rsidR="0021396E" w:rsidRDefault="0021396E" w:rsidP="0021396E">
      <w:pPr>
        <w:jc w:val="center"/>
        <w:rPr>
          <w:b/>
        </w:rPr>
      </w:pPr>
    </w:p>
    <w:p w14:paraId="683E39D6" w14:textId="77777777" w:rsidR="0021396E" w:rsidRDefault="0021396E" w:rsidP="0021396E">
      <w:pPr>
        <w:jc w:val="center"/>
        <w:rPr>
          <w:b/>
        </w:rPr>
      </w:pPr>
    </w:p>
    <w:p w14:paraId="77B247C4" w14:textId="03622BFD" w:rsidR="0021396E" w:rsidRPr="001A7D0A" w:rsidRDefault="0021396E" w:rsidP="0021396E">
      <w:pPr>
        <w:jc w:val="center"/>
        <w:rPr>
          <w:b/>
        </w:rPr>
      </w:pPr>
      <w:r w:rsidRPr="001A7D0A">
        <w:rPr>
          <w:b/>
        </w:rPr>
        <w:t xml:space="preserve">Rejestr szacowania ryzyka ochrony danych osobowych i informacji  </w:t>
      </w:r>
      <w:r>
        <w:rPr>
          <w:b/>
        </w:rPr>
        <w:t xml:space="preserve">w </w:t>
      </w:r>
      <w:r w:rsidRPr="001A7D0A">
        <w:rPr>
          <w:b/>
        </w:rPr>
        <w:t>rok</w:t>
      </w:r>
      <w:r>
        <w:rPr>
          <w:b/>
        </w:rPr>
        <w:t>u</w:t>
      </w:r>
      <w:r w:rsidRPr="001A7D0A">
        <w:rPr>
          <w:b/>
        </w:rPr>
        <w:t xml:space="preserve"> ……………….</w:t>
      </w:r>
    </w:p>
    <w:p w14:paraId="0D7820E5" w14:textId="77777777" w:rsidR="0021396E" w:rsidRPr="001A7D0A" w:rsidRDefault="0021396E" w:rsidP="0021396E">
      <w:pPr>
        <w:jc w:val="center"/>
        <w:rPr>
          <w:b/>
        </w:rPr>
      </w:pPr>
      <w:r w:rsidRPr="001A7D0A">
        <w:rPr>
          <w:b/>
        </w:rPr>
        <w:t>D</w:t>
      </w:r>
      <w:r>
        <w:rPr>
          <w:b/>
        </w:rPr>
        <w:t xml:space="preserve">epartamentu </w:t>
      </w:r>
      <w:r w:rsidRPr="001A7D0A">
        <w:rPr>
          <w:b/>
        </w:rPr>
        <w:t>…………..</w:t>
      </w:r>
    </w:p>
    <w:tbl>
      <w:tblPr>
        <w:tblStyle w:val="Tabela-Siatka"/>
        <w:tblW w:w="14850" w:type="dxa"/>
        <w:tblLayout w:type="fixed"/>
        <w:tblLook w:val="04A0" w:firstRow="1" w:lastRow="0" w:firstColumn="1" w:lastColumn="0" w:noHBand="0" w:noVBand="1"/>
      </w:tblPr>
      <w:tblGrid>
        <w:gridCol w:w="959"/>
        <w:gridCol w:w="992"/>
        <w:gridCol w:w="2126"/>
        <w:gridCol w:w="1134"/>
        <w:gridCol w:w="1276"/>
        <w:gridCol w:w="1134"/>
        <w:gridCol w:w="1134"/>
        <w:gridCol w:w="992"/>
        <w:gridCol w:w="1985"/>
        <w:gridCol w:w="1134"/>
        <w:gridCol w:w="1984"/>
      </w:tblGrid>
      <w:tr w:rsidR="0021396E" w:rsidRPr="00FC52AB" w14:paraId="78BD998B" w14:textId="77777777" w:rsidTr="00D078EB">
        <w:tc>
          <w:tcPr>
            <w:tcW w:w="959" w:type="dxa"/>
            <w:vMerge w:val="restart"/>
            <w:vAlign w:val="center"/>
          </w:tcPr>
          <w:p w14:paraId="549299E0" w14:textId="77777777" w:rsidR="0021396E" w:rsidRPr="002E6D2F" w:rsidRDefault="0021396E" w:rsidP="00D078E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225D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2" w:type="dxa"/>
            <w:vMerge w:val="restart"/>
            <w:vAlign w:val="center"/>
          </w:tcPr>
          <w:p w14:paraId="1726186B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FC52AB">
              <w:rPr>
                <w:rFonts w:ascii="Times New Roman" w:hAnsi="Times New Roman" w:cs="Times New Roman"/>
              </w:rPr>
              <w:t>Aktywa</w:t>
            </w:r>
          </w:p>
        </w:tc>
        <w:tc>
          <w:tcPr>
            <w:tcW w:w="2126" w:type="dxa"/>
            <w:vAlign w:val="center"/>
          </w:tcPr>
          <w:p w14:paraId="2B8385E2" w14:textId="77777777" w:rsidR="0021396E" w:rsidRPr="00B46C11" w:rsidRDefault="0021396E" w:rsidP="00D078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6C11">
              <w:rPr>
                <w:rFonts w:ascii="Times New Roman" w:hAnsi="Times New Roman" w:cs="Times New Roman"/>
                <w:b/>
              </w:rPr>
              <w:t>IDENTYFIKACJA RYZYKA</w:t>
            </w:r>
          </w:p>
        </w:tc>
        <w:tc>
          <w:tcPr>
            <w:tcW w:w="1134" w:type="dxa"/>
            <w:vMerge w:val="restart"/>
            <w:vAlign w:val="center"/>
          </w:tcPr>
          <w:p w14:paraId="6FB3EDBD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FC52AB">
              <w:rPr>
                <w:rFonts w:ascii="Times New Roman" w:hAnsi="Times New Roman" w:cs="Times New Roman"/>
              </w:rPr>
              <w:t>Podatność</w:t>
            </w:r>
          </w:p>
        </w:tc>
        <w:tc>
          <w:tcPr>
            <w:tcW w:w="4536" w:type="dxa"/>
            <w:gridSpan w:val="4"/>
          </w:tcPr>
          <w:p w14:paraId="64B4662A" w14:textId="77777777" w:rsidR="0021396E" w:rsidRPr="00B46C11" w:rsidRDefault="0021396E" w:rsidP="00D078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6C11">
              <w:rPr>
                <w:rFonts w:ascii="Times New Roman" w:hAnsi="Times New Roman" w:cs="Times New Roman"/>
                <w:b/>
              </w:rPr>
              <w:t>ANALIZA RYZYKA</w:t>
            </w:r>
          </w:p>
        </w:tc>
        <w:tc>
          <w:tcPr>
            <w:tcW w:w="3119" w:type="dxa"/>
            <w:gridSpan w:val="2"/>
            <w:vAlign w:val="center"/>
          </w:tcPr>
          <w:p w14:paraId="77C058DC" w14:textId="77777777" w:rsidR="0021396E" w:rsidRPr="00B46C11" w:rsidRDefault="0021396E" w:rsidP="00D078E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46C11">
              <w:rPr>
                <w:rFonts w:ascii="Times New Roman" w:hAnsi="Times New Roman" w:cs="Times New Roman"/>
                <w:b/>
              </w:rPr>
              <w:t>REAKCJA NA RYZYKO</w:t>
            </w:r>
          </w:p>
        </w:tc>
        <w:tc>
          <w:tcPr>
            <w:tcW w:w="1984" w:type="dxa"/>
            <w:vMerge w:val="restart"/>
            <w:vAlign w:val="center"/>
          </w:tcPr>
          <w:p w14:paraId="291DD69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FC52AB">
              <w:rPr>
                <w:rFonts w:ascii="Times New Roman" w:hAnsi="Times New Roman" w:cs="Times New Roman"/>
              </w:rPr>
              <w:t>Osoba odpowiedzialna za realizację procesu</w:t>
            </w:r>
          </w:p>
        </w:tc>
      </w:tr>
      <w:tr w:rsidR="0021396E" w:rsidRPr="00FC52AB" w14:paraId="500BFD77" w14:textId="77777777" w:rsidTr="00D078EB">
        <w:tc>
          <w:tcPr>
            <w:tcW w:w="959" w:type="dxa"/>
            <w:vMerge/>
            <w:vAlign w:val="center"/>
          </w:tcPr>
          <w:p w14:paraId="1CB86907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vAlign w:val="center"/>
          </w:tcPr>
          <w:p w14:paraId="69A1EB0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03C1B825" w14:textId="77777777" w:rsidR="0021396E" w:rsidRPr="00591F4A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591F4A">
              <w:rPr>
                <w:rFonts w:ascii="Times New Roman" w:hAnsi="Times New Roman" w:cs="Times New Roman"/>
              </w:rPr>
              <w:t>Zagrożenie</w:t>
            </w:r>
          </w:p>
        </w:tc>
        <w:tc>
          <w:tcPr>
            <w:tcW w:w="1134" w:type="dxa"/>
            <w:vMerge/>
          </w:tcPr>
          <w:p w14:paraId="39C2260E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683AACEB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FC52AB">
              <w:rPr>
                <w:rFonts w:ascii="Times New Roman" w:hAnsi="Times New Roman" w:cs="Times New Roman"/>
              </w:rPr>
              <w:t>Prawdopodobieństwo</w:t>
            </w:r>
          </w:p>
        </w:tc>
        <w:tc>
          <w:tcPr>
            <w:tcW w:w="1134" w:type="dxa"/>
          </w:tcPr>
          <w:p w14:paraId="2E08984D" w14:textId="77777777" w:rsidR="0021396E" w:rsidRPr="008D31F1" w:rsidRDefault="0021396E" w:rsidP="00D078E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151951">
              <w:rPr>
                <w:rFonts w:ascii="Times New Roman" w:hAnsi="Times New Roman" w:cs="Times New Roman"/>
              </w:rPr>
              <w:t>Atrybut bezpieczeństwa</w:t>
            </w:r>
          </w:p>
        </w:tc>
        <w:tc>
          <w:tcPr>
            <w:tcW w:w="1134" w:type="dxa"/>
            <w:vAlign w:val="center"/>
          </w:tcPr>
          <w:p w14:paraId="1AC78F27" w14:textId="77777777" w:rsidR="0021396E" w:rsidRPr="00D946B1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Skutek</w:t>
            </w:r>
          </w:p>
        </w:tc>
        <w:tc>
          <w:tcPr>
            <w:tcW w:w="992" w:type="dxa"/>
            <w:vAlign w:val="center"/>
          </w:tcPr>
          <w:p w14:paraId="74CB8216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FC52AB">
              <w:rPr>
                <w:rFonts w:ascii="Times New Roman" w:hAnsi="Times New Roman" w:cs="Times New Roman"/>
              </w:rPr>
              <w:t>Poziom</w:t>
            </w:r>
          </w:p>
          <w:p w14:paraId="3E4A8BAA" w14:textId="77777777" w:rsidR="0021396E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 w:rsidRPr="00FC52AB">
              <w:rPr>
                <w:rFonts w:ascii="Times New Roman" w:hAnsi="Times New Roman" w:cs="Times New Roman"/>
              </w:rPr>
              <w:t xml:space="preserve"> ryzyka</w:t>
            </w:r>
          </w:p>
          <w:p w14:paraId="4CDCD465" w14:textId="77777777" w:rsidR="0021396E" w:rsidRPr="00715A73" w:rsidRDefault="0021396E" w:rsidP="00D078EB">
            <w:pPr>
              <w:jc w:val="center"/>
              <w:rPr>
                <w:rFonts w:ascii="Times New Roman" w:hAnsi="Times New Roman" w:cs="Times New Roman"/>
                <w:color w:val="1F497D" w:themeColor="text2"/>
              </w:rPr>
            </w:pPr>
          </w:p>
        </w:tc>
        <w:tc>
          <w:tcPr>
            <w:tcW w:w="1985" w:type="dxa"/>
            <w:vAlign w:val="center"/>
          </w:tcPr>
          <w:p w14:paraId="4ECD0626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Metody przeciwdziałania ryzyku</w:t>
            </w:r>
          </w:p>
        </w:tc>
        <w:tc>
          <w:tcPr>
            <w:tcW w:w="1134" w:type="dxa"/>
            <w:vAlign w:val="center"/>
          </w:tcPr>
          <w:p w14:paraId="2A71C961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Termin wdrożenia</w:t>
            </w:r>
          </w:p>
        </w:tc>
        <w:tc>
          <w:tcPr>
            <w:tcW w:w="1984" w:type="dxa"/>
            <w:vMerge/>
          </w:tcPr>
          <w:p w14:paraId="6A476574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1396E" w:rsidRPr="00FC52AB" w14:paraId="23727C4D" w14:textId="77777777" w:rsidTr="00D078EB">
        <w:tc>
          <w:tcPr>
            <w:tcW w:w="959" w:type="dxa"/>
            <w:vAlign w:val="center"/>
          </w:tcPr>
          <w:p w14:paraId="77078E67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  <w:tc>
          <w:tcPr>
            <w:tcW w:w="992" w:type="dxa"/>
            <w:vAlign w:val="center"/>
          </w:tcPr>
          <w:p w14:paraId="77EEECE4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(2)</w:t>
            </w:r>
          </w:p>
        </w:tc>
        <w:tc>
          <w:tcPr>
            <w:tcW w:w="2126" w:type="dxa"/>
            <w:vAlign w:val="center"/>
          </w:tcPr>
          <w:p w14:paraId="2402E130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(3)</w:t>
            </w:r>
          </w:p>
        </w:tc>
        <w:tc>
          <w:tcPr>
            <w:tcW w:w="1134" w:type="dxa"/>
          </w:tcPr>
          <w:p w14:paraId="1D85B9BE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(4)</w:t>
            </w:r>
          </w:p>
        </w:tc>
        <w:tc>
          <w:tcPr>
            <w:tcW w:w="1276" w:type="dxa"/>
            <w:vAlign w:val="center"/>
          </w:tcPr>
          <w:p w14:paraId="2E33768E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(5)</w:t>
            </w:r>
          </w:p>
        </w:tc>
        <w:tc>
          <w:tcPr>
            <w:tcW w:w="1134" w:type="dxa"/>
          </w:tcPr>
          <w:p w14:paraId="0757F8D6" w14:textId="77777777" w:rsidR="0021396E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(6)</w:t>
            </w:r>
          </w:p>
        </w:tc>
        <w:tc>
          <w:tcPr>
            <w:tcW w:w="1134" w:type="dxa"/>
            <w:vAlign w:val="center"/>
          </w:tcPr>
          <w:p w14:paraId="54F1D5A6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(7)</w:t>
            </w:r>
          </w:p>
        </w:tc>
        <w:tc>
          <w:tcPr>
            <w:tcW w:w="992" w:type="dxa"/>
            <w:vAlign w:val="center"/>
          </w:tcPr>
          <w:p w14:paraId="5C9E2C1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(8)</w:t>
            </w:r>
          </w:p>
        </w:tc>
        <w:tc>
          <w:tcPr>
            <w:tcW w:w="1985" w:type="dxa"/>
            <w:vAlign w:val="center"/>
          </w:tcPr>
          <w:p w14:paraId="3B0DCEE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(9)</w:t>
            </w:r>
          </w:p>
        </w:tc>
        <w:tc>
          <w:tcPr>
            <w:tcW w:w="1134" w:type="dxa"/>
            <w:vAlign w:val="center"/>
          </w:tcPr>
          <w:p w14:paraId="1BC6A938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(10)</w:t>
            </w:r>
          </w:p>
        </w:tc>
        <w:tc>
          <w:tcPr>
            <w:tcW w:w="1984" w:type="dxa"/>
          </w:tcPr>
          <w:p w14:paraId="2F567926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(11)</w:t>
            </w:r>
          </w:p>
        </w:tc>
      </w:tr>
      <w:tr w:rsidR="0021396E" w:rsidRPr="00FC52AB" w14:paraId="6BBF5D48" w14:textId="77777777" w:rsidTr="00D078EB">
        <w:trPr>
          <w:trHeight w:val="326"/>
        </w:trPr>
        <w:tc>
          <w:tcPr>
            <w:tcW w:w="959" w:type="dxa"/>
            <w:vAlign w:val="center"/>
          </w:tcPr>
          <w:p w14:paraId="7A17531C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BDC61C4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009F7B24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143CCF4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211A5AF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1FE4FF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1A0C51E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FB6F41D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58BFE762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51C7557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3FCE632C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</w:tr>
      <w:tr w:rsidR="0021396E" w:rsidRPr="00FC52AB" w14:paraId="61C18969" w14:textId="77777777" w:rsidTr="00D078EB">
        <w:trPr>
          <w:trHeight w:val="326"/>
        </w:trPr>
        <w:tc>
          <w:tcPr>
            <w:tcW w:w="959" w:type="dxa"/>
            <w:vAlign w:val="center"/>
          </w:tcPr>
          <w:p w14:paraId="276A8C3E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D92EE61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48CFE07F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9E43922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7370B4C0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5D31D11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F0EDDA1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8595C22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7303461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F5657A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6E6CDF5B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</w:tr>
      <w:tr w:rsidR="0021396E" w:rsidRPr="00FC52AB" w14:paraId="5F87B15E" w14:textId="77777777" w:rsidTr="00D078EB">
        <w:trPr>
          <w:trHeight w:val="326"/>
        </w:trPr>
        <w:tc>
          <w:tcPr>
            <w:tcW w:w="959" w:type="dxa"/>
            <w:vAlign w:val="center"/>
          </w:tcPr>
          <w:p w14:paraId="58C17BF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1BD0E52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1CDB08A1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9E6BBBE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3BD24CA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A393F2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137EED2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9D19E3F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69B093F3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628D2E7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72FCAE6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</w:tr>
      <w:tr w:rsidR="0021396E" w:rsidRPr="00FC52AB" w14:paraId="50F948B1" w14:textId="77777777" w:rsidTr="00D078EB">
        <w:trPr>
          <w:trHeight w:val="326"/>
        </w:trPr>
        <w:tc>
          <w:tcPr>
            <w:tcW w:w="959" w:type="dxa"/>
            <w:vAlign w:val="center"/>
          </w:tcPr>
          <w:p w14:paraId="73AC5EDA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6BFCD21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772D2F3F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B7A6FF0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4324FAF7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CBCB915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F155549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075B8B3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Align w:val="center"/>
          </w:tcPr>
          <w:p w14:paraId="5F3B6326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4578485" w14:textId="77777777" w:rsidR="0021396E" w:rsidRPr="00FC52AB" w:rsidRDefault="0021396E" w:rsidP="00D078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2C83A262" w14:textId="77777777" w:rsidR="0021396E" w:rsidRPr="00FC52AB" w:rsidRDefault="0021396E" w:rsidP="00D078EB">
            <w:pPr>
              <w:rPr>
                <w:rFonts w:ascii="Times New Roman" w:hAnsi="Times New Roman" w:cs="Times New Roman"/>
              </w:rPr>
            </w:pPr>
          </w:p>
        </w:tc>
      </w:tr>
    </w:tbl>
    <w:p w14:paraId="066685E5" w14:textId="77777777" w:rsidR="0021396E" w:rsidRDefault="0021396E" w:rsidP="0021396E"/>
    <w:p w14:paraId="262B62A2" w14:textId="77777777" w:rsidR="0021396E" w:rsidRPr="00591F4A" w:rsidRDefault="0021396E" w:rsidP="0021396E"/>
    <w:p w14:paraId="69739C6B" w14:textId="77777777" w:rsidR="0021396E" w:rsidRPr="00591F4A" w:rsidRDefault="0021396E" w:rsidP="0021396E">
      <w:pPr>
        <w:ind w:firstLine="10490"/>
      </w:pPr>
      <w:r w:rsidRPr="00591F4A">
        <w:t>……………………………………………</w:t>
      </w:r>
    </w:p>
    <w:p w14:paraId="13449E39" w14:textId="77777777" w:rsidR="0021396E" w:rsidRPr="009C59E2" w:rsidRDefault="0021396E" w:rsidP="0021396E">
      <w:pPr>
        <w:ind w:firstLine="10490"/>
        <w:rPr>
          <w:sz w:val="18"/>
          <w:szCs w:val="18"/>
        </w:rPr>
      </w:pPr>
      <w:r w:rsidRPr="00591F4A">
        <w:rPr>
          <w:sz w:val="18"/>
          <w:szCs w:val="18"/>
        </w:rPr>
        <w:t xml:space="preserve">                (data, podpis, pieczęć Dyrektora)</w:t>
      </w:r>
    </w:p>
    <w:p w14:paraId="4A76B305" w14:textId="77777777" w:rsidR="0021396E" w:rsidRPr="00591F4A" w:rsidRDefault="0021396E" w:rsidP="0021396E">
      <w:r w:rsidRPr="00591F4A">
        <w:rPr>
          <w:u w:val="single"/>
        </w:rPr>
        <w:t xml:space="preserve">LEGENDA </w:t>
      </w:r>
      <w:r w:rsidRPr="00591F4A">
        <w:t>do Rejestru szacowani</w:t>
      </w:r>
      <w:r>
        <w:t>a</w:t>
      </w:r>
      <w:r w:rsidRPr="00591F4A">
        <w:t xml:space="preserve"> ryzyka ochrony danych osobowych i informacji:</w:t>
      </w:r>
    </w:p>
    <w:p w14:paraId="46BE9724" w14:textId="77777777" w:rsidR="0021396E" w:rsidRPr="003225DC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3225DC">
        <w:rPr>
          <w:rFonts w:ascii="Times New Roman" w:hAnsi="Times New Roman" w:cs="Times New Roman"/>
          <w:b/>
        </w:rPr>
        <w:t xml:space="preserve">Liczba porządkowa </w:t>
      </w:r>
    </w:p>
    <w:p w14:paraId="18B90F21" w14:textId="77777777" w:rsidR="0021396E" w:rsidRPr="00591F4A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91F4A">
        <w:rPr>
          <w:rFonts w:ascii="Times New Roman" w:hAnsi="Times New Roman" w:cs="Times New Roman"/>
          <w:b/>
        </w:rPr>
        <w:t>Aktywa</w:t>
      </w:r>
      <w:r w:rsidRPr="00591F4A">
        <w:rPr>
          <w:rFonts w:ascii="Times New Roman" w:hAnsi="Times New Roman" w:cs="Times New Roman"/>
        </w:rPr>
        <w:t xml:space="preserve"> - </w:t>
      </w:r>
      <w:r w:rsidRPr="00591F4A">
        <w:rPr>
          <w:rFonts w:ascii="Times New Roman" w:eastAsia="Times New Roman" w:hAnsi="Times New Roman" w:cs="Times New Roman"/>
          <w:u w:color="000000"/>
        </w:rPr>
        <w:t>należy wskazać nazwę  zasobu organizacji, które podlegają analizie. Aktywa są to m.in.:  dane osobowe, sprzęt, pracownicy, pomieszczenia.</w:t>
      </w:r>
    </w:p>
    <w:p w14:paraId="0E8630AB" w14:textId="77777777" w:rsidR="0021396E" w:rsidRPr="00591F4A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91F4A">
        <w:rPr>
          <w:rFonts w:ascii="Times New Roman" w:eastAsia="Times New Roman" w:hAnsi="Times New Roman" w:cs="Times New Roman"/>
          <w:b/>
          <w:u w:color="000000"/>
        </w:rPr>
        <w:t>Zagrożenie</w:t>
      </w:r>
      <w:r w:rsidRPr="00591F4A">
        <w:rPr>
          <w:rFonts w:ascii="Times New Roman" w:eastAsia="Times New Roman" w:hAnsi="Times New Roman" w:cs="Times New Roman"/>
          <w:u w:color="000000"/>
        </w:rPr>
        <w:t xml:space="preserve"> – należy opisać  potencjalną przyczynę niepożądanego incydentu, który może naruszyć bezpieczeństwo przetwarzania danych osobowych i informacji, tj. utratę poufności, integralności, dostępności.</w:t>
      </w:r>
    </w:p>
    <w:p w14:paraId="4D05D521" w14:textId="77777777" w:rsidR="0021396E" w:rsidRPr="00591F4A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91F4A">
        <w:rPr>
          <w:rFonts w:ascii="Times New Roman" w:hAnsi="Times New Roman" w:cs="Times New Roman"/>
          <w:b/>
        </w:rPr>
        <w:t>Podatność</w:t>
      </w:r>
      <w:r w:rsidRPr="00591F4A">
        <w:rPr>
          <w:rFonts w:ascii="Times New Roman" w:hAnsi="Times New Roman" w:cs="Times New Roman"/>
        </w:rPr>
        <w:t xml:space="preserve"> - należy określić </w:t>
      </w:r>
      <w:r w:rsidRPr="00591F4A">
        <w:rPr>
          <w:rFonts w:ascii="Times New Roman" w:eastAsia="Times New Roman" w:hAnsi="Times New Roman" w:cs="Times New Roman"/>
          <w:u w:color="000000"/>
        </w:rPr>
        <w:t>słabość aktywów (urzeczywistnienie się potencjalnego zagrożenia), która może być wykorzystywana przez jedno lub kilka zagrożeń.</w:t>
      </w:r>
    </w:p>
    <w:p w14:paraId="73CE37FD" w14:textId="77777777" w:rsidR="0021396E" w:rsidRPr="00591F4A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91F4A">
        <w:rPr>
          <w:rFonts w:ascii="Times New Roman" w:hAnsi="Times New Roman" w:cs="Times New Roman"/>
          <w:b/>
        </w:rPr>
        <w:t>Prawdopodobieństwo</w:t>
      </w:r>
      <w:r w:rsidRPr="00591F4A">
        <w:rPr>
          <w:rFonts w:ascii="Times New Roman" w:hAnsi="Times New Roman" w:cs="Times New Roman"/>
        </w:rPr>
        <w:t>– należy wpisać odpowiednią ilość punktów w oparciu o „Mapę ry</w:t>
      </w:r>
      <w:r>
        <w:rPr>
          <w:rFonts w:ascii="Times New Roman" w:hAnsi="Times New Roman" w:cs="Times New Roman"/>
        </w:rPr>
        <w:t>zyka”, stanowiącą załącznik Nr 5</w:t>
      </w:r>
      <w:r w:rsidRPr="00591F4A">
        <w:rPr>
          <w:rFonts w:ascii="Times New Roman" w:hAnsi="Times New Roman" w:cs="Times New Roman"/>
        </w:rPr>
        <w:t xml:space="preserve"> do zasad wg. następującej skali: wysokie – 3 pkt, średnie – 2 pkt, niskie – 1 pkt.</w:t>
      </w:r>
    </w:p>
    <w:p w14:paraId="4946DF6B" w14:textId="77777777" w:rsidR="0021396E" w:rsidRPr="00151951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151951">
        <w:rPr>
          <w:rFonts w:ascii="Times New Roman" w:hAnsi="Times New Roman" w:cs="Times New Roman"/>
          <w:b/>
          <w:bCs/>
        </w:rPr>
        <w:lastRenderedPageBreak/>
        <w:t>Atrybut bezpieczeństwa</w:t>
      </w:r>
      <w:r w:rsidRPr="00151951">
        <w:rPr>
          <w:rFonts w:ascii="Times New Roman" w:hAnsi="Times New Roman" w:cs="Times New Roman"/>
        </w:rPr>
        <w:t xml:space="preserve"> – należy wpisać atrybut bezpieczeństwa, którego dotyczy zagrożenie, tj. utrata poufności, integralności, dostępności (można wpisać jednocześnie trzy atrybuty)</w:t>
      </w:r>
    </w:p>
    <w:p w14:paraId="3EF5E51C" w14:textId="77777777" w:rsidR="0021396E" w:rsidRPr="00591F4A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91F4A">
        <w:rPr>
          <w:rFonts w:ascii="Times New Roman" w:hAnsi="Times New Roman" w:cs="Times New Roman"/>
          <w:b/>
        </w:rPr>
        <w:t xml:space="preserve">Skutek – </w:t>
      </w:r>
      <w:r w:rsidRPr="00591F4A">
        <w:rPr>
          <w:rFonts w:ascii="Times New Roman" w:hAnsi="Times New Roman" w:cs="Times New Roman"/>
        </w:rPr>
        <w:t>należy wpisać odpowiednią ilość punktów w oparciu o „Mapę ryzyka”, stanowiącą załą</w:t>
      </w:r>
      <w:r>
        <w:rPr>
          <w:rFonts w:ascii="Times New Roman" w:hAnsi="Times New Roman" w:cs="Times New Roman"/>
        </w:rPr>
        <w:t>cznik nr 5</w:t>
      </w:r>
      <w:r w:rsidRPr="00591F4A">
        <w:rPr>
          <w:rFonts w:ascii="Times New Roman" w:hAnsi="Times New Roman" w:cs="Times New Roman"/>
        </w:rPr>
        <w:t xml:space="preserve"> do zasad.</w:t>
      </w:r>
    </w:p>
    <w:p w14:paraId="7A6349D2" w14:textId="77777777" w:rsidR="0021396E" w:rsidRPr="0021396E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591F4A">
        <w:rPr>
          <w:rFonts w:ascii="Times New Roman" w:hAnsi="Times New Roman" w:cs="Times New Roman"/>
          <w:b/>
        </w:rPr>
        <w:t xml:space="preserve">Poziom ryzyka  </w:t>
      </w:r>
      <w:r w:rsidRPr="00591F4A">
        <w:rPr>
          <w:rFonts w:ascii="Times New Roman" w:hAnsi="Times New Roman" w:cs="Times New Roman"/>
        </w:rPr>
        <w:t>– iloczyn  prawdopodobieństwa i skutku wg. skali: ryzyko wysokie (</w:t>
      </w:r>
      <w:r w:rsidRPr="00591F4A">
        <w:rPr>
          <w:rFonts w:ascii="Times New Roman" w:hAnsi="Times New Roman" w:cs="Times New Roman"/>
          <w:b/>
        </w:rPr>
        <w:t>W</w:t>
      </w:r>
      <w:r w:rsidRPr="00591F4A">
        <w:rPr>
          <w:rFonts w:ascii="Times New Roman" w:hAnsi="Times New Roman" w:cs="Times New Roman"/>
        </w:rPr>
        <w:t>) – 6 lub 9 pkt, ryzyko średnie (</w:t>
      </w:r>
      <w:r w:rsidRPr="00591F4A">
        <w:rPr>
          <w:rFonts w:ascii="Times New Roman" w:hAnsi="Times New Roman" w:cs="Times New Roman"/>
          <w:b/>
        </w:rPr>
        <w:t>Ś</w:t>
      </w:r>
      <w:r w:rsidRPr="00591F4A">
        <w:rPr>
          <w:rFonts w:ascii="Times New Roman" w:hAnsi="Times New Roman" w:cs="Times New Roman"/>
        </w:rPr>
        <w:t>) – 3 lub 4 pkt, ryzyko niskie (</w:t>
      </w:r>
      <w:r w:rsidRPr="00591F4A">
        <w:rPr>
          <w:rFonts w:ascii="Times New Roman" w:hAnsi="Times New Roman" w:cs="Times New Roman"/>
          <w:b/>
        </w:rPr>
        <w:t>N</w:t>
      </w:r>
      <w:r w:rsidRPr="00591F4A">
        <w:rPr>
          <w:rFonts w:ascii="Times New Roman" w:hAnsi="Times New Roman" w:cs="Times New Roman"/>
        </w:rPr>
        <w:t xml:space="preserve">)– 1 </w:t>
      </w:r>
      <w:r w:rsidRPr="0021396E">
        <w:rPr>
          <w:rFonts w:ascii="Times New Roman" w:hAnsi="Times New Roman" w:cs="Times New Roman"/>
        </w:rPr>
        <w:t>lub 2 pkt. Należy wpisać odpowiednią ilość punktów wraz z odpowiednim symbolem, np. 6 (W).</w:t>
      </w:r>
    </w:p>
    <w:p w14:paraId="6CBA95D1" w14:textId="77777777" w:rsidR="0021396E" w:rsidRPr="0021396E" w:rsidRDefault="0021396E" w:rsidP="002139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21396E">
        <w:rPr>
          <w:rFonts w:ascii="Times New Roman" w:hAnsi="Times New Roman" w:cs="Times New Roman"/>
          <w:b/>
        </w:rPr>
        <w:t xml:space="preserve">Metody przeciwdziałaniu ryzyku </w:t>
      </w:r>
      <w:r w:rsidRPr="0021396E">
        <w:rPr>
          <w:rFonts w:ascii="Times New Roman" w:hAnsi="Times New Roman" w:cs="Times New Roman"/>
        </w:rPr>
        <w:t>– są to działania jakie zamierza podjąć Dyrektor komórki organizacyjnej w stosunku do zidentyfikowanego ryzyka przy przetwarzaniu danych osobowych i informacji w odniesieniu do danej aktywa</w:t>
      </w:r>
    </w:p>
    <w:p w14:paraId="6F10669B" w14:textId="28BCC411" w:rsidR="0021396E" w:rsidRPr="0021396E" w:rsidRDefault="0021396E" w:rsidP="0021396E">
      <w:pPr>
        <w:pStyle w:val="Akapitzlist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</w:rPr>
      </w:pPr>
      <w:r w:rsidRPr="0021396E">
        <w:rPr>
          <w:rFonts w:ascii="Times New Roman" w:hAnsi="Times New Roman" w:cs="Times New Roman"/>
          <w:b/>
        </w:rPr>
        <w:t xml:space="preserve">Termin wdrożenia </w:t>
      </w:r>
      <w:r w:rsidRPr="0021396E">
        <w:rPr>
          <w:rFonts w:ascii="Times New Roman" w:hAnsi="Times New Roman" w:cs="Times New Roman"/>
        </w:rPr>
        <w:t>-  należy określić termin w postaci roku  w jakim zostanie wdrożone działanie w stosunku do zidentyfikowanego ryzyka przy przetwarzaniu danych osobowych i informacji, bądź w przypadku kiedy działanie zostało wdrożone należy wpisać „wdrożono”.</w:t>
      </w:r>
    </w:p>
    <w:p w14:paraId="633D3733" w14:textId="77777777" w:rsidR="0021396E" w:rsidRPr="0021396E" w:rsidRDefault="0021396E" w:rsidP="0021396E">
      <w:pPr>
        <w:pStyle w:val="Akapitzlist"/>
        <w:numPr>
          <w:ilvl w:val="0"/>
          <w:numId w:val="1"/>
        </w:numPr>
        <w:ind w:hanging="436"/>
        <w:rPr>
          <w:rFonts w:ascii="Times New Roman" w:hAnsi="Times New Roman" w:cs="Times New Roman"/>
        </w:rPr>
      </w:pPr>
      <w:r w:rsidRPr="0021396E">
        <w:rPr>
          <w:rFonts w:ascii="Times New Roman" w:hAnsi="Times New Roman" w:cs="Times New Roman"/>
          <w:b/>
        </w:rPr>
        <w:t xml:space="preserve">Osoba odpowiedzialna za realizację procesu </w:t>
      </w:r>
      <w:r w:rsidRPr="0021396E">
        <w:rPr>
          <w:rFonts w:ascii="Times New Roman" w:hAnsi="Times New Roman" w:cs="Times New Roman"/>
        </w:rPr>
        <w:t xml:space="preserve"> - należy wpisać osobę odpowiedzialną za proces, np.: Administrator Danych Osobowych, Inspektor Ochrony Danych, Dyrektor Departamentu, Pracownicy</w:t>
      </w:r>
    </w:p>
    <w:p w14:paraId="3E7B9923" w14:textId="77777777" w:rsidR="0021396E" w:rsidRPr="00930FA2" w:rsidRDefault="0021396E" w:rsidP="0021396E"/>
    <w:p w14:paraId="26AEA5FD" w14:textId="77777777" w:rsidR="0021396E" w:rsidRDefault="0021396E" w:rsidP="0021396E"/>
    <w:p w14:paraId="15229F53" w14:textId="77777777" w:rsidR="0021396E" w:rsidRDefault="0021396E" w:rsidP="0021396E"/>
    <w:p w14:paraId="6C46E068" w14:textId="77777777" w:rsidR="0021396E" w:rsidRDefault="0021396E" w:rsidP="0021396E"/>
    <w:p w14:paraId="761BEAE4" w14:textId="77777777" w:rsidR="0021396E" w:rsidRDefault="0021396E" w:rsidP="0021396E"/>
    <w:p w14:paraId="280F2970" w14:textId="77777777" w:rsidR="0021396E" w:rsidRDefault="0021396E" w:rsidP="0021396E"/>
    <w:p w14:paraId="68B563DC" w14:textId="77777777" w:rsidR="0021396E" w:rsidRDefault="0021396E" w:rsidP="0021396E"/>
    <w:p w14:paraId="11C4D547" w14:textId="77777777" w:rsidR="0021396E" w:rsidRDefault="0021396E" w:rsidP="0021396E"/>
    <w:p w14:paraId="4736BCEA" w14:textId="77777777" w:rsidR="0021396E" w:rsidRDefault="0021396E" w:rsidP="0021396E"/>
    <w:p w14:paraId="358E9745" w14:textId="77777777" w:rsidR="0021396E" w:rsidRDefault="0021396E">
      <w:pPr>
        <w:spacing w:before="120" w:after="120"/>
        <w:ind w:left="283" w:firstLine="227"/>
        <w:rPr>
          <w:szCs w:val="20"/>
        </w:rPr>
      </w:pPr>
    </w:p>
    <w:sectPr w:rsidR="0021396E" w:rsidSect="0021396E">
      <w:endnotePr>
        <w:numFmt w:val="decimal"/>
      </w:endnotePr>
      <w:pgSz w:w="16838" w:h="11906" w:orient="landscape"/>
      <w:pgMar w:top="851" w:right="851" w:bottom="851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B2927"/>
    <w:multiLevelType w:val="hybridMultilevel"/>
    <w:tmpl w:val="41106D02"/>
    <w:lvl w:ilvl="0" w:tplc="57FA6A4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561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396E"/>
    <w:rsid w:val="00255B8D"/>
    <w:rsid w:val="0083621A"/>
    <w:rsid w:val="0097122F"/>
    <w:rsid w:val="00A04FC9"/>
    <w:rsid w:val="00A77B3E"/>
    <w:rsid w:val="00BB0E31"/>
    <w:rsid w:val="00BC2581"/>
    <w:rsid w:val="00BF64D7"/>
    <w:rsid w:val="00CA2A55"/>
    <w:rsid w:val="00F5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D69DA"/>
  <w15:docId w15:val="{D134FB3F-7B2E-42EC-A999-E0B19303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1396E"/>
    <w:pPr>
      <w:tabs>
        <w:tab w:val="center" w:pos="4536"/>
        <w:tab w:val="right" w:pos="9072"/>
      </w:tabs>
      <w:jc w:val="left"/>
    </w:pPr>
    <w:rPr>
      <w:rFonts w:asciiTheme="minorHAnsi" w:eastAsiaTheme="minorEastAsia" w:hAnsiTheme="minorHAnsi" w:cstheme="minorBidi"/>
      <w:szCs w:val="22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21396E"/>
    <w:rPr>
      <w:rFonts w:asciiTheme="minorHAnsi" w:eastAsiaTheme="minorEastAsia" w:hAnsiTheme="minorHAnsi" w:cstheme="minorBidi"/>
      <w:sz w:val="22"/>
      <w:szCs w:val="22"/>
      <w:lang w:bidi="ar-SA"/>
    </w:rPr>
  </w:style>
  <w:style w:type="table" w:styleId="Tabela-Siatka">
    <w:name w:val="Table Grid"/>
    <w:basedOn w:val="Standardowy"/>
    <w:uiPriority w:val="59"/>
    <w:rsid w:val="0021396E"/>
    <w:rPr>
      <w:rFonts w:asciiTheme="minorHAnsi" w:eastAsiaTheme="minorEastAsia" w:hAnsiTheme="minorHAnsi" w:cstheme="minorBidi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1396E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1054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zasad i^sposobu funkcjonowania kontroli zarządczej oraz planowania pracy w^Urzędzie Miejskim w^Elblągu</dc:subject>
  <dc:creator>makrz</dc:creator>
  <cp:lastModifiedBy>Katarzyna Iskra</cp:lastModifiedBy>
  <cp:revision>2</cp:revision>
  <dcterms:created xsi:type="dcterms:W3CDTF">2025-02-25T09:03:00Z</dcterms:created>
  <dcterms:modified xsi:type="dcterms:W3CDTF">2025-02-25T09:03:00Z</dcterms:modified>
  <cp:category>Akt prawny</cp:category>
</cp:coreProperties>
</file>