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77B3E" w:rsidRDefault="005D7113">
      <w:pPr>
        <w:jc w:val="center"/>
        <w:rPr>
          <w:b/>
          <w:caps/>
        </w:rPr>
      </w:pPr>
      <w:r>
        <w:rPr>
          <w:b/>
          <w:caps/>
        </w:rPr>
        <w:t>Zarządzenie Nr 516/2022</w:t>
      </w:r>
      <w:r>
        <w:rPr>
          <w:b/>
          <w:caps/>
        </w:rPr>
        <w:br/>
        <w:t>Prezydenta Miasta Elbląg</w:t>
      </w:r>
    </w:p>
    <w:p w:rsidR="00A77B3E" w:rsidRDefault="005D7113">
      <w:pPr>
        <w:spacing w:before="280" w:after="280"/>
        <w:jc w:val="center"/>
        <w:rPr>
          <w:b/>
          <w:caps/>
        </w:rPr>
      </w:pPr>
      <w:r>
        <w:t>z dnia 21 listopada 2022 r.</w:t>
      </w:r>
    </w:p>
    <w:p w:rsidR="00A77B3E" w:rsidRDefault="005D7113">
      <w:pPr>
        <w:keepNext/>
        <w:jc w:val="center"/>
      </w:pPr>
      <w:r>
        <w:rPr>
          <w:b/>
        </w:rPr>
        <w:t>w sprawie sporządzenia i ogłoszenia wykazu nieruchomości</w:t>
      </w:r>
      <w:r>
        <w:rPr>
          <w:b/>
        </w:rPr>
        <w:br/>
        <w:t>przeznaczonych do sprzedaży na rzecz użytkowników wieczystych</w:t>
      </w:r>
    </w:p>
    <w:p w:rsidR="00A77B3E" w:rsidRDefault="005D7113">
      <w:pPr>
        <w:keepLines/>
        <w:spacing w:before="120" w:after="120"/>
      </w:pPr>
      <w:r>
        <w:t xml:space="preserve">Na podstawie art. 35 ust. 1 i 2 ustawy z dnia 21 sierpnia </w:t>
      </w:r>
      <w:r>
        <w:t>1997 r. o gospodarce nieruchomościami (t.j. Dz.U. z 2021 r. poz. 1899 ze zm.)</w:t>
      </w:r>
    </w:p>
    <w:p w:rsidR="00A77B3E" w:rsidRDefault="005D7113">
      <w:pPr>
        <w:spacing w:before="120" w:after="120"/>
        <w:jc w:val="center"/>
        <w:rPr>
          <w:b/>
        </w:rPr>
      </w:pPr>
      <w:r>
        <w:rPr>
          <w:b/>
        </w:rPr>
        <w:t>zarządza się, co następuje:</w:t>
      </w:r>
    </w:p>
    <w:p w:rsidR="00A77B3E" w:rsidRDefault="005D7113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1. </w:t>
      </w:r>
      <w:r>
        <w:t>1. </w:t>
      </w:r>
      <w:r>
        <w:t>Przeznacza się do sprzedaży na rzecz użytkowników wieczystych nieruchomości gruntowe szczegółowo opisane w załączniku do niniejszego zarządzen</w:t>
      </w:r>
      <w:r>
        <w:t>ia.</w:t>
      </w:r>
    </w:p>
    <w:p w:rsidR="00A77B3E" w:rsidRDefault="005D7113">
      <w:pPr>
        <w:keepLines/>
        <w:spacing w:before="120" w:after="12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Szczegółowe warunki zbycia poszczególnych nieruchomości zostaną ustalone we właściwych protokołach.</w:t>
      </w:r>
    </w:p>
    <w:p w:rsidR="00A77B3E" w:rsidRDefault="005D7113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Wykonanie Zarządzenia powierza się Dyrektorowi Departamentu Gospodarki Nieruchomościami i Geodezji.</w:t>
      </w:r>
    </w:p>
    <w:p w:rsidR="00A77B3E" w:rsidRDefault="005D7113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Zarządzenie wchodzi w życi</w:t>
      </w:r>
      <w:r>
        <w:rPr>
          <w:color w:val="000000"/>
          <w:u w:color="000000"/>
        </w:rPr>
        <w:t>e z dniem podpisania.</w:t>
      </w:r>
    </w:p>
    <w:p w:rsidR="005D7113" w:rsidRDefault="005D7113">
      <w:pPr>
        <w:keepLines/>
        <w:spacing w:before="120" w:after="120"/>
        <w:rPr>
          <w:color w:val="000000"/>
          <w:u w:color="000000"/>
        </w:rPr>
        <w:sectPr w:rsidR="005D7113">
          <w:endnotePr>
            <w:numFmt w:val="decimal"/>
          </w:endnotePr>
          <w:pgSz w:w="11906" w:h="16838"/>
          <w:pgMar w:top="1417" w:right="850" w:bottom="1134" w:left="1417" w:header="708" w:footer="708" w:gutter="0"/>
          <w:cols w:space="708"/>
          <w:docGrid w:linePitch="360"/>
        </w:sectPr>
      </w:pPr>
      <w:bookmarkStart w:id="0" w:name="_GoBack"/>
      <w:bookmarkEnd w:id="0"/>
    </w:p>
    <w:p w:rsidR="00A77B3E" w:rsidRDefault="005D7113">
      <w:pPr>
        <w:keepNext/>
        <w:spacing w:before="120"/>
        <w:ind w:left="10362"/>
        <w:jc w:val="left"/>
        <w:rPr>
          <w:color w:val="000000"/>
          <w:u w:color="000000"/>
        </w:rPr>
      </w:pPr>
      <w:r>
        <w:rPr>
          <w:color w:val="000000"/>
          <w:u w:color="000000"/>
        </w:rPr>
        <w:lastRenderedPageBreak/>
        <w:fldChar w:fldCharType="begin"/>
      </w:r>
      <w:r>
        <w:rPr>
          <w:color w:val="000000"/>
          <w:u w:color="000000"/>
        </w:rPr>
        <w:fldChar w:fldCharType="end"/>
      </w:r>
      <w:r>
        <w:rPr>
          <w:color w:val="000000"/>
          <w:u w:color="000000"/>
        </w:rPr>
        <w:t>Załącznik do zarządzenia Nr 516/2022</w:t>
      </w:r>
      <w:r>
        <w:rPr>
          <w:color w:val="000000"/>
          <w:u w:color="000000"/>
        </w:rPr>
        <w:br/>
        <w:t>Prezydenta Miasta Elbląg</w:t>
      </w:r>
      <w:r>
        <w:rPr>
          <w:color w:val="000000"/>
          <w:u w:color="000000"/>
        </w:rPr>
        <w:br/>
        <w:t>z dnia 21 listopada 2022 r.</w:t>
      </w:r>
    </w:p>
    <w:p w:rsidR="00A77B3E" w:rsidRDefault="005D7113">
      <w:pPr>
        <w:keepNext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>WYKAZ</w:t>
      </w:r>
      <w:r>
        <w:rPr>
          <w:b/>
          <w:color w:val="000000"/>
          <w:u w:color="000000"/>
        </w:rPr>
        <w:br/>
        <w:t>nieruchomości przeznaczonych do zbycia w drodze bezprzetargowej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95"/>
        <w:gridCol w:w="1756"/>
        <w:gridCol w:w="1126"/>
        <w:gridCol w:w="916"/>
        <w:gridCol w:w="946"/>
        <w:gridCol w:w="1036"/>
        <w:gridCol w:w="2972"/>
        <w:gridCol w:w="1126"/>
        <w:gridCol w:w="2057"/>
        <w:gridCol w:w="2357"/>
      </w:tblGrid>
      <w:tr w:rsidR="008A6E54">
        <w:tc>
          <w:tcPr>
            <w:tcW w:w="14775" w:type="dxa"/>
            <w:gridSpan w:val="10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</w:tr>
      <w:tr w:rsidR="008A6E54">
        <w:trPr>
          <w:trHeight w:val="330"/>
        </w:trPr>
        <w:tc>
          <w:tcPr>
            <w:tcW w:w="495" w:type="dxa"/>
            <w:vMerge w:val="restart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5D7113">
            <w:pPr>
              <w:jc w:val="center"/>
              <w:rPr>
                <w:color w:val="000000"/>
                <w:u w:color="000000"/>
              </w:rPr>
            </w:pPr>
            <w:proofErr w:type="spellStart"/>
            <w:r>
              <w:rPr>
                <w:b/>
              </w:rPr>
              <w:t>Lp</w:t>
            </w:r>
            <w:proofErr w:type="spellEnd"/>
          </w:p>
        </w:tc>
        <w:tc>
          <w:tcPr>
            <w:tcW w:w="1755" w:type="dxa"/>
            <w:vMerge w:val="restart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5D7113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Adres</w:t>
            </w:r>
          </w:p>
        </w:tc>
        <w:tc>
          <w:tcPr>
            <w:tcW w:w="4020" w:type="dxa"/>
            <w:gridSpan w:val="4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A77B3E" w:rsidRDefault="005D7113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Dane geodezyjne</w:t>
            </w:r>
          </w:p>
        </w:tc>
        <w:tc>
          <w:tcPr>
            <w:tcW w:w="2970" w:type="dxa"/>
            <w:vMerge w:val="restart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5D7113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color w:val="000000"/>
                <w:u w:color="000000"/>
              </w:rPr>
              <w:t>Opis i przeznaczenie</w:t>
            </w:r>
            <w:r>
              <w:rPr>
                <w:color w:val="000000"/>
                <w:u w:color="000000"/>
              </w:rPr>
              <w:br/>
            </w:r>
            <w:r>
              <w:rPr>
                <w:b/>
                <w:color w:val="000000"/>
                <w:u w:color="000000"/>
              </w:rPr>
              <w:t>nieruchomości</w:t>
            </w:r>
          </w:p>
        </w:tc>
        <w:tc>
          <w:tcPr>
            <w:tcW w:w="1125" w:type="dxa"/>
            <w:vMerge w:val="restart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5D7113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color w:val="000000"/>
                <w:u w:color="000000"/>
              </w:rPr>
              <w:t>Forma</w:t>
            </w:r>
            <w:r>
              <w:rPr>
                <w:color w:val="000000"/>
                <w:u w:color="000000"/>
              </w:rPr>
              <w:br/>
            </w:r>
            <w:r>
              <w:rPr>
                <w:b/>
                <w:color w:val="000000"/>
                <w:u w:color="000000"/>
              </w:rPr>
              <w:t>zbycia</w:t>
            </w:r>
          </w:p>
        </w:tc>
        <w:tc>
          <w:tcPr>
            <w:tcW w:w="2055" w:type="dxa"/>
            <w:vMerge w:val="restart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5D7113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color w:val="000000"/>
                <w:u w:color="000000"/>
              </w:rPr>
              <w:t>Tryb</w:t>
            </w:r>
            <w:r>
              <w:rPr>
                <w:color w:val="000000"/>
                <w:u w:color="000000"/>
              </w:rPr>
              <w:br/>
            </w:r>
            <w:r>
              <w:rPr>
                <w:b/>
                <w:color w:val="000000"/>
                <w:u w:color="000000"/>
              </w:rPr>
              <w:t>zbycia</w:t>
            </w:r>
          </w:p>
        </w:tc>
        <w:tc>
          <w:tcPr>
            <w:tcW w:w="2355" w:type="dxa"/>
            <w:vMerge w:val="restart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5D7113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Cena nieruchomości*</w:t>
            </w:r>
          </w:p>
        </w:tc>
      </w:tr>
      <w:tr w:rsidR="008A6E54">
        <w:tc>
          <w:tcPr>
            <w:tcW w:w="495" w:type="dxa"/>
            <w:vMerge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755" w:type="dxa"/>
            <w:vMerge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2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5D7113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KW</w:t>
            </w:r>
          </w:p>
        </w:tc>
        <w:tc>
          <w:tcPr>
            <w:tcW w:w="91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5D7113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Nr dz.</w:t>
            </w:r>
          </w:p>
        </w:tc>
        <w:tc>
          <w:tcPr>
            <w:tcW w:w="94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5D7113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color w:val="000000"/>
                <w:u w:color="000000"/>
              </w:rPr>
              <w:t>Pow.</w:t>
            </w:r>
            <w:r>
              <w:rPr>
                <w:color w:val="000000"/>
                <w:u w:color="000000"/>
              </w:rPr>
              <w:br/>
            </w:r>
            <w:r>
              <w:rPr>
                <w:b/>
                <w:color w:val="000000"/>
                <w:u w:color="000000"/>
              </w:rPr>
              <w:t>w ha</w:t>
            </w:r>
          </w:p>
        </w:tc>
        <w:tc>
          <w:tcPr>
            <w:tcW w:w="103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5D7113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Obręb</w:t>
            </w:r>
          </w:p>
        </w:tc>
        <w:tc>
          <w:tcPr>
            <w:tcW w:w="2970" w:type="dxa"/>
            <w:vMerge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25" w:type="dxa"/>
            <w:vMerge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055" w:type="dxa"/>
            <w:vMerge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355" w:type="dxa"/>
            <w:vMerge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</w:tr>
      <w:tr w:rsidR="008A6E54">
        <w:tc>
          <w:tcPr>
            <w:tcW w:w="49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5D711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</w:t>
            </w:r>
          </w:p>
        </w:tc>
        <w:tc>
          <w:tcPr>
            <w:tcW w:w="175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5D711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</w:t>
            </w:r>
          </w:p>
        </w:tc>
        <w:tc>
          <w:tcPr>
            <w:tcW w:w="112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5D711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</w:t>
            </w:r>
          </w:p>
        </w:tc>
        <w:tc>
          <w:tcPr>
            <w:tcW w:w="91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5D711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4</w:t>
            </w:r>
          </w:p>
        </w:tc>
        <w:tc>
          <w:tcPr>
            <w:tcW w:w="94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5D711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5</w:t>
            </w:r>
          </w:p>
        </w:tc>
        <w:tc>
          <w:tcPr>
            <w:tcW w:w="103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5D711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6</w:t>
            </w:r>
          </w:p>
        </w:tc>
        <w:tc>
          <w:tcPr>
            <w:tcW w:w="297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5D711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7</w:t>
            </w:r>
          </w:p>
        </w:tc>
        <w:tc>
          <w:tcPr>
            <w:tcW w:w="112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5D711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8</w:t>
            </w:r>
          </w:p>
        </w:tc>
        <w:tc>
          <w:tcPr>
            <w:tcW w:w="205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5D711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</w:t>
            </w:r>
          </w:p>
        </w:tc>
        <w:tc>
          <w:tcPr>
            <w:tcW w:w="235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5D711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10</w:t>
            </w:r>
          </w:p>
        </w:tc>
      </w:tr>
      <w:tr w:rsidR="008A6E54">
        <w:trPr>
          <w:trHeight w:val="870"/>
        </w:trPr>
        <w:tc>
          <w:tcPr>
            <w:tcW w:w="495" w:type="dxa"/>
            <w:vMerge w:val="restart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5D7113">
            <w:pPr>
              <w:jc w:val="center"/>
              <w:rPr>
                <w:color w:val="000000"/>
                <w:u w:color="000000"/>
              </w:rPr>
            </w:pPr>
            <w:r>
              <w:t>1.</w:t>
            </w:r>
          </w:p>
        </w:tc>
        <w:tc>
          <w:tcPr>
            <w:tcW w:w="1755" w:type="dxa"/>
            <w:vMerge w:val="restart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5D7113">
            <w:pPr>
              <w:jc w:val="center"/>
              <w:rPr>
                <w:color w:val="000000"/>
                <w:u w:color="000000"/>
              </w:rPr>
            </w:pPr>
            <w:r>
              <w:t>Płk. Stanisława Dąbka 215</w:t>
            </w:r>
          </w:p>
        </w:tc>
        <w:tc>
          <w:tcPr>
            <w:tcW w:w="1125" w:type="dxa"/>
            <w:vMerge w:val="restart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5D7113">
            <w:pPr>
              <w:jc w:val="center"/>
              <w:rPr>
                <w:color w:val="000000"/>
                <w:u w:color="000000"/>
              </w:rPr>
            </w:pPr>
            <w:r>
              <w:t>50990/4</w:t>
            </w:r>
          </w:p>
          <w:p w:rsidR="008A6E54" w:rsidRDefault="005D7113">
            <w:pPr>
              <w:jc w:val="center"/>
            </w:pPr>
            <w:r>
              <w:t>35885/4</w:t>
            </w:r>
          </w:p>
          <w:p w:rsidR="008A6E54" w:rsidRDefault="005D7113">
            <w:pPr>
              <w:jc w:val="center"/>
            </w:pPr>
            <w:r>
              <w:t>50990/4</w:t>
            </w:r>
          </w:p>
          <w:p w:rsidR="008A6E54" w:rsidRDefault="005D7113">
            <w:pPr>
              <w:jc w:val="center"/>
            </w:pPr>
            <w:r>
              <w:t>39717/4</w:t>
            </w:r>
          </w:p>
          <w:p w:rsidR="008A6E54" w:rsidRDefault="005D7113">
            <w:pPr>
              <w:jc w:val="center"/>
            </w:pPr>
            <w:r>
              <w:t>61989/4</w:t>
            </w:r>
          </w:p>
          <w:p w:rsidR="008A6E54" w:rsidRDefault="005D7113">
            <w:pPr>
              <w:jc w:val="center"/>
            </w:pPr>
            <w:r>
              <w:t>61400/2</w:t>
            </w:r>
          </w:p>
        </w:tc>
        <w:tc>
          <w:tcPr>
            <w:tcW w:w="915" w:type="dxa"/>
            <w:vMerge w:val="restart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5D7113">
            <w:pPr>
              <w:jc w:val="center"/>
              <w:rPr>
                <w:color w:val="000000"/>
                <w:u w:color="000000"/>
              </w:rPr>
            </w:pPr>
            <w:r>
              <w:t>10/21</w:t>
            </w:r>
          </w:p>
          <w:p w:rsidR="008A6E54" w:rsidRDefault="005D7113">
            <w:pPr>
              <w:jc w:val="center"/>
            </w:pPr>
            <w:r>
              <w:t>11/10</w:t>
            </w:r>
          </w:p>
          <w:p w:rsidR="008A6E54" w:rsidRDefault="005D7113">
            <w:pPr>
              <w:jc w:val="center"/>
            </w:pPr>
            <w:r>
              <w:t>11/20</w:t>
            </w:r>
          </w:p>
          <w:p w:rsidR="008A6E54" w:rsidRDefault="005D7113">
            <w:pPr>
              <w:jc w:val="center"/>
            </w:pPr>
            <w:r>
              <w:t>11/42</w:t>
            </w:r>
          </w:p>
          <w:p w:rsidR="008A6E54" w:rsidRDefault="005D7113">
            <w:pPr>
              <w:jc w:val="center"/>
            </w:pPr>
            <w:r>
              <w:t>10/243</w:t>
            </w:r>
          </w:p>
          <w:p w:rsidR="008A6E54" w:rsidRDefault="005D7113">
            <w:pPr>
              <w:jc w:val="center"/>
            </w:pPr>
            <w:r>
              <w:t>11/56</w:t>
            </w:r>
          </w:p>
        </w:tc>
        <w:tc>
          <w:tcPr>
            <w:tcW w:w="945" w:type="dxa"/>
            <w:vMerge w:val="restart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5D7113">
            <w:pPr>
              <w:jc w:val="center"/>
              <w:rPr>
                <w:color w:val="000000"/>
                <w:u w:color="000000"/>
              </w:rPr>
            </w:pPr>
            <w:r>
              <w:t>0,2028</w:t>
            </w:r>
          </w:p>
          <w:p w:rsidR="008A6E54" w:rsidRDefault="005D7113">
            <w:pPr>
              <w:jc w:val="center"/>
            </w:pPr>
            <w:r>
              <w:t>0,2724</w:t>
            </w:r>
          </w:p>
          <w:p w:rsidR="008A6E54" w:rsidRDefault="005D7113">
            <w:pPr>
              <w:jc w:val="center"/>
            </w:pPr>
            <w:r>
              <w:t>0,0847</w:t>
            </w:r>
          </w:p>
          <w:p w:rsidR="008A6E54" w:rsidRDefault="005D7113">
            <w:pPr>
              <w:jc w:val="center"/>
            </w:pPr>
            <w:r>
              <w:t>1,9661</w:t>
            </w:r>
          </w:p>
          <w:p w:rsidR="008A6E54" w:rsidRDefault="005D7113">
            <w:pPr>
              <w:jc w:val="center"/>
            </w:pPr>
            <w:r>
              <w:t>0,2312</w:t>
            </w:r>
          </w:p>
          <w:p w:rsidR="008A6E54" w:rsidRDefault="005D7113">
            <w:pPr>
              <w:jc w:val="center"/>
            </w:pPr>
            <w:r>
              <w:t>0,4321</w:t>
            </w:r>
          </w:p>
        </w:tc>
        <w:tc>
          <w:tcPr>
            <w:tcW w:w="1035" w:type="dxa"/>
            <w:vMerge w:val="restart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5D7113">
            <w:pPr>
              <w:jc w:val="center"/>
              <w:rPr>
                <w:color w:val="000000"/>
                <w:u w:color="000000"/>
              </w:rPr>
            </w:pPr>
            <w:r>
              <w:t>2</w:t>
            </w:r>
          </w:p>
        </w:tc>
        <w:tc>
          <w:tcPr>
            <w:tcW w:w="2970" w:type="dxa"/>
            <w:vMerge w:val="restart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5D7113">
            <w:pPr>
              <w:jc w:val="center"/>
              <w:rPr>
                <w:color w:val="000000"/>
                <w:u w:color="000000"/>
              </w:rPr>
            </w:pPr>
            <w:r>
              <w:t xml:space="preserve">Kompleks działek. Działki nr 10/21, 11/20 i 11/56 niezabudowane, pozostałe działki zabudowane  budynkami o funkcji przemysłowo-produkcyjnej.  </w:t>
            </w:r>
          </w:p>
          <w:p w:rsidR="008A6E54" w:rsidRDefault="005D7113">
            <w:pPr>
              <w:jc w:val="center"/>
            </w:pPr>
            <w:r>
              <w:t xml:space="preserve">W MPZP  teren zabudowy produkcyjno-usługowej.       </w:t>
            </w:r>
          </w:p>
        </w:tc>
        <w:tc>
          <w:tcPr>
            <w:tcW w:w="1125" w:type="dxa"/>
            <w:vMerge w:val="restart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5D7113">
            <w:pPr>
              <w:jc w:val="center"/>
              <w:rPr>
                <w:color w:val="000000"/>
                <w:u w:color="000000"/>
              </w:rPr>
            </w:pPr>
            <w:r>
              <w:t>własność</w:t>
            </w:r>
          </w:p>
        </w:tc>
        <w:tc>
          <w:tcPr>
            <w:tcW w:w="2055" w:type="dxa"/>
            <w:vMerge w:val="restart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5D7113">
            <w:pPr>
              <w:jc w:val="center"/>
              <w:rPr>
                <w:color w:val="000000"/>
                <w:u w:color="000000"/>
              </w:rPr>
            </w:pPr>
            <w:r>
              <w:t>Bezprzetargowo,</w:t>
            </w:r>
          </w:p>
          <w:p w:rsidR="008A6E54" w:rsidRDefault="005D7113">
            <w:pPr>
              <w:jc w:val="center"/>
            </w:pPr>
            <w:r>
              <w:t>na rzecz użytkownika wieczystego gr</w:t>
            </w:r>
            <w:r>
              <w:t>untu</w:t>
            </w:r>
          </w:p>
        </w:tc>
        <w:tc>
          <w:tcPr>
            <w:tcW w:w="235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vAlign w:val="center"/>
          </w:tcPr>
          <w:p w:rsidR="00A77B3E" w:rsidRDefault="005D7113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1.247.596 zł</w:t>
            </w:r>
          </w:p>
        </w:tc>
      </w:tr>
      <w:tr w:rsidR="008A6E54">
        <w:trPr>
          <w:trHeight w:val="915"/>
        </w:trPr>
        <w:tc>
          <w:tcPr>
            <w:tcW w:w="49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75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2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1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4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3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97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2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05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35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5D7113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sprzedaż nieruchomości nie podlega opodatkowaniu podatkiem VAT, ponieważ nie stanowi ona dostawy towarów w myśl art. 7 ust. 1 pkt 6 i 7 ustawy z dnia 11.03.2004 r.                             o podatku od towarów i usług</w:t>
            </w:r>
          </w:p>
        </w:tc>
      </w:tr>
      <w:tr w:rsidR="008A6E54">
        <w:trPr>
          <w:trHeight w:val="283"/>
        </w:trPr>
        <w:tc>
          <w:tcPr>
            <w:tcW w:w="14775" w:type="dxa"/>
            <w:gridSpan w:val="10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8A6E54">
        <w:trPr>
          <w:trHeight w:val="283"/>
        </w:trPr>
        <w:tc>
          <w:tcPr>
            <w:tcW w:w="14775" w:type="dxa"/>
            <w:gridSpan w:val="10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77B3E" w:rsidRDefault="005D7113">
            <w:pPr>
              <w:jc w:val="left"/>
              <w:rPr>
                <w:color w:val="000000"/>
                <w:u w:color="000000"/>
              </w:rPr>
            </w:pPr>
            <w:r>
              <w:rPr>
                <w:sz w:val="18"/>
              </w:rPr>
              <w:t xml:space="preserve">* </w:t>
            </w:r>
            <w:r>
              <w:rPr>
                <w:sz w:val="18"/>
              </w:rPr>
              <w:t>Osoby, o których mowa w art.34 ust.1 ustawy o gospodarce nieruchomościami nabywają nieruchomość za cenę określoną na podstawie art.67 ust.3 ustawy o gospodarce nieruchomościami.</w:t>
            </w:r>
          </w:p>
        </w:tc>
      </w:tr>
      <w:tr w:rsidR="008A6E54">
        <w:trPr>
          <w:trHeight w:val="495"/>
        </w:trPr>
        <w:tc>
          <w:tcPr>
            <w:tcW w:w="14775" w:type="dxa"/>
            <w:gridSpan w:val="10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77B3E" w:rsidRDefault="005D7113">
            <w:pPr>
              <w:jc w:val="left"/>
              <w:rPr>
                <w:color w:val="000000"/>
                <w:u w:color="000000"/>
              </w:rPr>
            </w:pPr>
            <w:r>
              <w:rPr>
                <w:i/>
                <w:sz w:val="20"/>
              </w:rPr>
              <w:t>Sporządziła: Aleksandra Kłos, Starszy Inspektor</w:t>
            </w:r>
          </w:p>
        </w:tc>
      </w:tr>
    </w:tbl>
    <w:p w:rsidR="00A77B3E" w:rsidRDefault="00A77B3E">
      <w:pPr>
        <w:rPr>
          <w:color w:val="000000"/>
          <w:u w:color="000000"/>
        </w:rPr>
      </w:pPr>
    </w:p>
    <w:sectPr w:rsidR="00A77B3E">
      <w:endnotePr>
        <w:numFmt w:val="decimal"/>
      </w:endnotePr>
      <w:pgSz w:w="16838" w:h="11906" w:orient="landscape"/>
      <w:pgMar w:top="1417" w:right="850" w:bottom="1134" w:left="1417" w:header="708" w:footer="708" w:gutter="0"/>
      <w:pgNumType w:start="1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77B3E"/>
    <w:rsid w:val="005D7113"/>
    <w:rsid w:val="008A6E54"/>
    <w:rsid w:val="00A77B3E"/>
    <w:rsid w:val="00CA2A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285</Words>
  <Characters>1713</Characters>
  <Application>Microsoft Office Word</Application>
  <DocSecurity>0</DocSecurity>
  <Lines>14</Lines>
  <Paragraphs>3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Zarządzenie Nr 516/2022 z dnia 21 listopada 2022 r.</vt:lpstr>
      <vt:lpstr/>
    </vt:vector>
  </TitlesOfParts>
  <Company>Prezydent Miasta Elbląg</Company>
  <LinksUpToDate>false</LinksUpToDate>
  <CharactersWithSpaces>1995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516/2022 z dnia 21 listopada 2022 r.</dc:title>
  <dc:subject>w sprawie sporządzenia i^ogłoszenia wykazu nieruchomości
przeznaczonych do sprzedaży na^rzecz^użytkowników wieczystych</dc:subject>
  <dc:creator>alklo</dc:creator>
  <cp:lastModifiedBy>Aleksandra Kłos</cp:lastModifiedBy>
  <cp:revision>2</cp:revision>
  <dcterms:created xsi:type="dcterms:W3CDTF">2022-11-23T08:17:00Z</dcterms:created>
  <dcterms:modified xsi:type="dcterms:W3CDTF">2022-11-23T08:17:00Z</dcterms:modified>
  <cp:category>Akt prawny</cp:category>
</cp:coreProperties>
</file>