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438/2022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października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Nr 140/2022 Prezydenta Miasta Elbląg z dnia 5 kwietnia 2022 r. w sprawie sporządzenia o ogłoszenia wykazu nieruchomości przeznaczonych do zbycia, dokonuje się sprostowania omyłki pisarskiej: w kol. 8 skreśla się własność, a w to miejsce wpisuje się użytkowanie wieczyste.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86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438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 października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2116"/>
        <w:gridCol w:w="2102"/>
        <w:gridCol w:w="826"/>
        <w:gridCol w:w="901"/>
        <w:gridCol w:w="946"/>
        <w:gridCol w:w="3213"/>
        <w:gridCol w:w="1096"/>
        <w:gridCol w:w="1771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7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7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Krakusa</w:t>
            </w:r>
          </w:p>
        </w:tc>
        <w:tc>
          <w:tcPr>
            <w:tcW w:w="21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31935/2</w:t>
            </w:r>
          </w:p>
        </w:tc>
        <w:tc>
          <w:tcPr>
            <w:tcW w:w="8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2/26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0,0088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Działki niezabudowane.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6) u.g.n., tj. celem poprawy warunków zagospodarowania nieruchomości przyległej,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10.000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438/2022 z dnia 4 października 2022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2022-10-07T11:01:47Z</dcterms:created>
  <dcterms:modified xsi:type="dcterms:W3CDTF">2022-10-07T11:01:47Z</dcterms:modified>
  <cp:category>Akt prawny</cp:category>
</cp:coreProperties>
</file>