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3E547F">
      <w:pPr>
        <w:jc w:val="center"/>
        <w:rPr>
          <w:b/>
          <w:caps/>
        </w:rPr>
      </w:pPr>
      <w:r>
        <w:rPr>
          <w:b/>
          <w:caps/>
        </w:rPr>
        <w:t>Zarządzenie Nr 413/2022</w:t>
      </w:r>
      <w:r>
        <w:rPr>
          <w:b/>
          <w:caps/>
        </w:rPr>
        <w:br/>
        <w:t>Prezydenta Miasta Elbląg</w:t>
      </w:r>
    </w:p>
    <w:p w:rsidR="00A77B3E" w:rsidRDefault="003E547F">
      <w:pPr>
        <w:spacing w:before="280" w:after="280"/>
        <w:jc w:val="center"/>
        <w:rPr>
          <w:b/>
          <w:caps/>
        </w:rPr>
      </w:pPr>
      <w:r>
        <w:t>z dnia 14 września</w:t>
      </w:r>
      <w:r>
        <w:t> 2022 r.</w:t>
      </w:r>
    </w:p>
    <w:p w:rsidR="00A77B3E" w:rsidRDefault="003E547F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3E547F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2021 r. poz. 1899 ze zm.)</w:t>
      </w:r>
    </w:p>
    <w:p w:rsidR="00A77B3E" w:rsidRDefault="003E547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E54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3E547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3E54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3E547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3E54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E54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E547F" w:rsidRDefault="003E547F">
      <w:pPr>
        <w:keepLines/>
        <w:spacing w:before="120" w:after="120"/>
        <w:rPr>
          <w:color w:val="000000"/>
          <w:u w:color="000000"/>
        </w:rPr>
        <w:sectPr w:rsidR="003E547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E547F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413/2022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14 września </w:t>
      </w:r>
      <w:bookmarkStart w:id="0" w:name="_GoBack"/>
      <w:bookmarkEnd w:id="0"/>
      <w:r>
        <w:rPr>
          <w:color w:val="000000"/>
          <w:u w:color="000000"/>
        </w:rPr>
        <w:t>2022 r.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</w:r>
    </w:p>
    <w:p w:rsidR="00A77B3E" w:rsidRDefault="003E547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EF15C1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E547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EF15C1" w:rsidRDefault="003E547F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EF15C1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F15C1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t>Jana Amosa Komeńskiego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t>39445/6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t>853/12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t>0,0233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t>Nieruchomość niezabudowana, przeznaczona w MPZP pod funkcje usługowe i przemysłowo-składowe.</w:t>
            </w:r>
          </w:p>
          <w:p w:rsidR="00EF15C1" w:rsidRDefault="003E547F">
            <w:pPr>
              <w:jc w:val="center"/>
            </w:pPr>
            <w:r>
              <w:t>Zbycie udziału do 0,2662 części nieruchomości.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5.600 zł</w:t>
            </w:r>
          </w:p>
        </w:tc>
      </w:tr>
      <w:tr w:rsidR="00EF15C1">
        <w:trPr>
          <w:trHeight w:val="13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3E547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EF15C1" w:rsidRDefault="003E547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3E547F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EF15C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E547F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art.67 ust.3 ustawy o gospodarce </w:t>
            </w:r>
            <w:r>
              <w:rPr>
                <w:sz w:val="18"/>
              </w:rPr>
              <w:t>nieruchomościami. </w:t>
            </w:r>
          </w:p>
          <w:p w:rsidR="00EF15C1" w:rsidRDefault="003E547F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</w:t>
            </w:r>
            <w:r>
              <w:rPr>
                <w:sz w:val="18"/>
              </w:rPr>
              <w:t xml:space="preserve"> przed upływem terminu określonego w wykazie: termin złożenia wniosku nie może być krótszy niż 6 tygodni, licząc od dnia wywieszenia wykazu.</w:t>
            </w:r>
          </w:p>
        </w:tc>
      </w:tr>
      <w:tr w:rsidR="00EF15C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EF15C1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E547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3E547F"/>
    <w:rsid w:val="00A77B3E"/>
    <w:rsid w:val="00CA2A55"/>
    <w:rsid w:val="00EF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1986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2022-09-15T12:50:00Z</dcterms:created>
  <dcterms:modified xsi:type="dcterms:W3CDTF">2022-09-15T12:50:00Z</dcterms:modified>
  <cp:category>Akt prawny</cp:category>
</cp:coreProperties>
</file>