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306/2022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lipca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0" w:afterAutospacing="0" w:line="240" w:lineRule="auto"/>
        <w:ind w:left="4535" w:right="0" w:firstLine="0"/>
        <w:contextualSpacing w:val="0"/>
        <w:jc w:val="left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 xml:space="preserve">Załącznik do Zarządzenia Nr </w:t>
      </w:r>
      <w:r>
        <w:rPr>
          <w:szCs w:val="20"/>
        </w:rPr>
        <w:t>306/2022</w:t>
      </w:r>
      <w:r>
        <w:rPr>
          <w:szCs w:val="20"/>
          <w:lang w:val="x-none" w:eastAsia="en-US" w:bidi="ar-SA"/>
        </w:rPr>
        <w:br/>
        <w:t>Prezydenta Miasta Elbląg</w:t>
        <w:br/>
        <w:t>z dnia</w:t>
      </w:r>
      <w:r>
        <w:rPr>
          <w:szCs w:val="20"/>
        </w:rPr>
        <w:t xml:space="preserve"> 1 lipca </w:t>
      </w:r>
      <w:r>
        <w:rPr>
          <w:szCs w:val="20"/>
          <w:lang w:val="x-none" w:eastAsia="en-US" w:bidi="ar-SA"/>
        </w:rPr>
        <w:t>2022 r.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WYKAZ</w:t>
        <w:br/>
        <w:t>nieruchomości przeznaczonych do zbycia w drodze przetargu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141"/>
        <w:gridCol w:w="1066"/>
        <w:gridCol w:w="1066"/>
        <w:gridCol w:w="3798"/>
        <w:gridCol w:w="1156"/>
        <w:gridCol w:w="249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szCs w:val="20"/>
                <w:lang w:val="x-none" w:eastAsia="en-US" w:bidi="ar-SA"/>
              </w:rPr>
              <w:t>Lp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Adres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Dane geodezyjne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Opis i przeznaczenie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  <w:br/>
            </w: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nieruchomości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Forma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  <w:br/>
            </w: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zbycia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Cena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nieruchomości*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</w:tr>
      <w:tr>
        <w:tblPrEx>
          <w:tblW w:w="5000" w:type="pct"/>
          <w:tblBorders>
            <w:insideH w:val="nil"/>
            <w:insideV w:val="nil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KW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Nr dz.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Pow.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  <w:br/>
            </w: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w ha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Obręb</w:t>
            </w:r>
            <w:r>
              <w:rPr>
                <w:color w:val="000000"/>
                <w:szCs w:val="20"/>
                <w:u w:color="000000"/>
                <w:lang w:val="x-none" w:eastAsia="en-US" w:bidi="ar-SA"/>
              </w:rPr>
              <w:t> </w:t>
            </w: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</w:tr>
      <w:tr>
        <w:tblPrEx>
          <w:tblW w:w="5000" w:type="pct"/>
          <w:tblBorders>
            <w:insideH w:val="nil"/>
            <w:insideV w:val="nil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6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8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9</w:t>
            </w:r>
          </w:p>
        </w:tc>
      </w:tr>
      <w:tr>
        <w:tblPrEx>
          <w:tblW w:w="5000" w:type="pct"/>
          <w:tblBorders>
            <w:insideH w:val="nil"/>
            <w:insideV w:val="nil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Cs w:val="20"/>
                <w:u w:color="000000"/>
                <w:lang w:val="x-none" w:eastAsia="en-US" w:bidi="ar-SA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  <w:lang w:val="x-none" w:eastAsia="en-US" w:bidi="ar-SA"/>
              </w:rPr>
              <w:t>ul.</w:t>
            </w:r>
            <w:r>
              <w:rPr>
                <w:color w:val="000000"/>
                <w:szCs w:val="20"/>
                <w:u w:color="000000"/>
              </w:rPr>
              <w:t>Trybunalska 7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t>144/4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t>178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t>0,0511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t>16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u w:color="000000"/>
                <w:lang w:val="x-none" w:eastAsia="en-US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Nieruchomość zabudowana budynkiem administracyjno - biurowym  o pow. użytkowej 1.724,50 m</w:t>
            </w:r>
            <w:r>
              <w:rPr>
                <w:sz w:val="20"/>
                <w:szCs w:val="20"/>
                <w:vertAlign w:val="superscript"/>
              </w:rPr>
              <w:t xml:space="preserve">2 </w:t>
            </w:r>
            <w:r>
              <w:rPr>
                <w:sz w:val="20"/>
                <w:szCs w:val="20"/>
              </w:rPr>
              <w:t>wraz z pomieszczeniami  piwnicznymi o łącznej pow. 146,40 m</w:t>
            </w:r>
            <w:r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 xml:space="preserve"> 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Cs w:val="20"/>
                <w:u w:color="000000"/>
                <w:lang w:val="x-none" w:eastAsia="en-US" w:bidi="ar-SA"/>
              </w:rP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u w:color="000000"/>
              </w:rPr>
              <w:t>3.000.000</w:t>
            </w:r>
            <w:r>
              <w:rPr>
                <w:b/>
                <w:color w:val="000000"/>
                <w:szCs w:val="20"/>
                <w:u w:color="000000"/>
                <w:lang w:val="x-none" w:eastAsia="en-US" w:bidi="ar-SA"/>
              </w:rPr>
              <w:t> zł</w:t>
            </w:r>
          </w:p>
        </w:tc>
      </w:tr>
      <w:tr>
        <w:tblPrEx>
          <w:tblBorders>
            <w:insideH w:val="nil"/>
            <w:insideV w:val="nil"/>
          </w:tblBorders>
          <w:tblLayout w:type="fixed"/>
          <w:tblCellMar>
            <w:left w:w="108" w:type="dxa"/>
            <w:right w:w="108" w:type="dxa"/>
          </w:tblCellMar>
        </w:tblPrEx>
        <w:trPr>
          <w:trHeight w:val="72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 xml:space="preserve">plus podatek VAT zgodnie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6"/>
                <w:szCs w:val="20"/>
                <w:u w:color="000000"/>
                <w:lang w:val="x-none" w:eastAsia="en-US" w:bidi="ar-SA"/>
              </w:rPr>
              <w:t>z obowiązującymi przepisami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ab/>
        <w:br/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367"/>
        <w:gridCol w:w="4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sz w:val="18"/>
                <w:szCs w:val="20"/>
                <w:lang w:val="x-none" w:eastAsia="en-US" w:bidi="ar-SA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u w:color="000000"/>
                <w:lang w:val="x-none" w:eastAsia="en-US" w:bidi="ar-SA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  <w:u w:color="000000"/>
                <w:lang w:val="x-none" w:eastAsia="en-US" w:bidi="ar-SA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  <w:u w:color="000000"/>
                <w:lang w:val="x-none" w:eastAsia="en-US" w:bidi="ar-SA"/>
              </w:rPr>
            </w:pPr>
            <w:r>
              <w:rPr>
                <w:i/>
                <w:color w:val="000000"/>
                <w:sz w:val="18"/>
                <w:szCs w:val="20"/>
                <w:u w:color="000000"/>
                <w:lang w:val="x-none" w:eastAsia="en-US" w:bidi="ar-SA"/>
              </w:rPr>
              <w:t>Sporządziła: Katarzyna Zaborowska</w:t>
            </w:r>
            <w:r>
              <w:rPr>
                <w:i/>
                <w:color w:val="000000"/>
                <w:sz w:val="18"/>
                <w:szCs w:val="20"/>
                <w:u w:color="000000"/>
              </w:rPr>
              <w:t>,</w:t>
            </w:r>
            <w:r>
              <w:rPr>
                <w:i/>
                <w:color w:val="000000"/>
                <w:sz w:val="18"/>
                <w:szCs w:val="20"/>
                <w:u w:color="000000"/>
                <w:lang w:val="x-none" w:eastAsia="en-US" w:bidi="ar-SA"/>
              </w:rPr>
              <w:t xml:space="preserve"> </w:t>
            </w:r>
            <w:r>
              <w:rPr>
                <w:i/>
                <w:color w:val="000000"/>
                <w:sz w:val="18"/>
                <w:szCs w:val="20"/>
                <w:u w:color="000000"/>
              </w:rPr>
              <w:t>Podinspektor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szCs w:val="20"/>
          <w:lang w:val="x-none" w:eastAsia="en-US" w:bidi="ar-SA"/>
        </w:rPr>
      </w:pPr>
    </w:p>
    <w:sectPr>
      <w:endnotePr>
        <w:numFmt w:val="decimal"/>
      </w:endnotePr>
      <w:type w:val="nextPage"/>
      <w:pgSz w:w="16838" w:h="11906" w:orient="landscape" w:code="0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306/2022 z dnia 1 lipca 2022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2022-07-05T09:36:27Z</dcterms:created>
  <dcterms:modified xsi:type="dcterms:W3CDTF">2022-07-05T09:36:27Z</dcterms:modified>
  <cp:category>Akt prawny</cp:category>
</cp:coreProperties>
</file>